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8E16B" w14:textId="42C6E372" w:rsidR="00A80A34" w:rsidRPr="00230020" w:rsidRDefault="00A80A34" w:rsidP="00F73FD3">
      <w:pPr>
        <w:ind w:left="0"/>
        <w:jc w:val="center"/>
        <w:rPr>
          <w:rFonts w:eastAsiaTheme="minorHAnsi" w:cs="Arial"/>
          <w:b/>
          <w:bCs/>
          <w:color w:val="3769FF"/>
          <w:spacing w:val="0"/>
          <w:sz w:val="26"/>
          <w:szCs w:val="24"/>
        </w:rPr>
      </w:pPr>
      <w:r w:rsidRPr="00230020">
        <w:rPr>
          <w:rFonts w:eastAsiaTheme="minorHAnsi" w:cs="Arial"/>
          <w:b/>
          <w:bCs/>
          <w:color w:val="3769FF"/>
          <w:spacing w:val="0"/>
          <w:sz w:val="26"/>
          <w:szCs w:val="24"/>
        </w:rPr>
        <w:t xml:space="preserve">FTIF </w:t>
      </w:r>
      <w:r w:rsidR="001E3287">
        <w:rPr>
          <w:rFonts w:eastAsiaTheme="minorHAnsi" w:cs="Arial"/>
          <w:b/>
          <w:bCs/>
          <w:color w:val="3769FF"/>
          <w:spacing w:val="0"/>
          <w:sz w:val="26"/>
          <w:szCs w:val="24"/>
        </w:rPr>
        <w:t>p</w:t>
      </w:r>
      <w:r w:rsidRPr="00230020">
        <w:rPr>
          <w:rFonts w:eastAsiaTheme="minorHAnsi" w:cs="Arial"/>
          <w:b/>
          <w:bCs/>
          <w:color w:val="3769FF"/>
          <w:spacing w:val="0"/>
          <w:sz w:val="26"/>
          <w:szCs w:val="24"/>
        </w:rPr>
        <w:t xml:space="preserve">rospectus </w:t>
      </w:r>
      <w:r w:rsidR="005058E5">
        <w:rPr>
          <w:rFonts w:eastAsiaTheme="minorHAnsi" w:cs="Arial"/>
          <w:b/>
          <w:bCs/>
          <w:color w:val="3769FF"/>
          <w:spacing w:val="0"/>
          <w:sz w:val="26"/>
          <w:szCs w:val="24"/>
        </w:rPr>
        <w:t>dated 23 July 2026</w:t>
      </w:r>
      <w:r w:rsidR="001D707D">
        <w:rPr>
          <w:rFonts w:eastAsiaTheme="minorHAnsi" w:cs="Arial"/>
          <w:b/>
          <w:bCs/>
          <w:color w:val="3769FF"/>
          <w:spacing w:val="0"/>
          <w:sz w:val="26"/>
          <w:szCs w:val="24"/>
        </w:rPr>
        <w:t xml:space="preserve"> (</w:t>
      </w:r>
      <w:r>
        <w:rPr>
          <w:rFonts w:eastAsiaTheme="minorHAnsi" w:cs="Arial"/>
          <w:b/>
          <w:bCs/>
          <w:color w:val="3769FF"/>
          <w:spacing w:val="0"/>
          <w:sz w:val="26"/>
          <w:szCs w:val="24"/>
        </w:rPr>
        <w:t>“</w:t>
      </w:r>
      <w:r w:rsidR="001D707D">
        <w:rPr>
          <w:rFonts w:eastAsiaTheme="minorHAnsi" w:cs="Arial"/>
          <w:b/>
          <w:bCs/>
          <w:color w:val="3769FF"/>
          <w:spacing w:val="0"/>
          <w:sz w:val="26"/>
          <w:szCs w:val="24"/>
        </w:rPr>
        <w:t>Mars A</w:t>
      </w:r>
      <w:r>
        <w:rPr>
          <w:rFonts w:eastAsiaTheme="minorHAnsi" w:cs="Arial"/>
          <w:b/>
          <w:bCs/>
          <w:color w:val="3769FF"/>
          <w:spacing w:val="0"/>
          <w:sz w:val="26"/>
          <w:szCs w:val="24"/>
        </w:rPr>
        <w:t>”</w:t>
      </w:r>
      <w:r w:rsidR="00470F46">
        <w:rPr>
          <w:rFonts w:eastAsiaTheme="minorHAnsi" w:cs="Arial"/>
          <w:b/>
          <w:bCs/>
          <w:color w:val="3769FF"/>
          <w:spacing w:val="0"/>
          <w:sz w:val="26"/>
          <w:szCs w:val="24"/>
        </w:rPr>
        <w:t>)</w:t>
      </w:r>
      <w:r w:rsidRPr="00230020">
        <w:rPr>
          <w:rFonts w:eastAsiaTheme="minorHAnsi" w:cs="Arial"/>
          <w:b/>
          <w:bCs/>
          <w:color w:val="3769FF"/>
          <w:spacing w:val="0"/>
          <w:sz w:val="26"/>
          <w:szCs w:val="24"/>
        </w:rPr>
        <w:t xml:space="preserve"> - </w:t>
      </w:r>
      <w:r w:rsidR="00932F49">
        <w:rPr>
          <w:rFonts w:eastAsiaTheme="minorHAnsi" w:cs="Arial"/>
          <w:b/>
          <w:bCs/>
          <w:color w:val="3769FF"/>
          <w:spacing w:val="0"/>
          <w:sz w:val="26"/>
          <w:szCs w:val="24"/>
        </w:rPr>
        <w:t>s</w:t>
      </w:r>
      <w:r w:rsidRPr="00230020">
        <w:rPr>
          <w:rFonts w:eastAsiaTheme="minorHAnsi" w:cs="Arial"/>
          <w:b/>
          <w:bCs/>
          <w:color w:val="3769FF"/>
          <w:spacing w:val="0"/>
          <w:sz w:val="26"/>
          <w:szCs w:val="24"/>
        </w:rPr>
        <w:t xml:space="preserve">ummary of </w:t>
      </w:r>
      <w:r>
        <w:rPr>
          <w:rFonts w:eastAsiaTheme="minorHAnsi" w:cs="Arial"/>
          <w:b/>
          <w:bCs/>
          <w:color w:val="3769FF"/>
          <w:spacing w:val="0"/>
          <w:sz w:val="26"/>
          <w:szCs w:val="24"/>
        </w:rPr>
        <w:t xml:space="preserve">main </w:t>
      </w:r>
      <w:r w:rsidRPr="00230020">
        <w:rPr>
          <w:rFonts w:eastAsiaTheme="minorHAnsi" w:cs="Arial"/>
          <w:b/>
          <w:bCs/>
          <w:color w:val="3769FF"/>
          <w:spacing w:val="0"/>
          <w:sz w:val="26"/>
          <w:szCs w:val="24"/>
        </w:rPr>
        <w:t>changes</w:t>
      </w:r>
    </w:p>
    <w:p w14:paraId="7265913A" w14:textId="77777777" w:rsidR="00A80A34" w:rsidRDefault="00A80A34" w:rsidP="004A4A37">
      <w:pPr>
        <w:ind w:left="0"/>
        <w:jc w:val="both"/>
      </w:pPr>
    </w:p>
    <w:p w14:paraId="24C67353" w14:textId="5E115873" w:rsidR="00102B2A" w:rsidRPr="001E40CD" w:rsidRDefault="00B05B4E" w:rsidP="001E40CD">
      <w:pPr>
        <w:ind w:left="0"/>
        <w:jc w:val="both"/>
        <w:rPr>
          <w:rFonts w:asciiTheme="minorHAnsi" w:hAnsiTheme="minorHAnsi" w:cstheme="minorHAnsi"/>
        </w:rPr>
      </w:pPr>
      <w:r w:rsidRPr="001E40CD">
        <w:rPr>
          <w:rFonts w:asciiTheme="minorHAnsi" w:hAnsiTheme="minorHAnsi" w:cstheme="minorHAnsi"/>
        </w:rPr>
        <w:t xml:space="preserve">A new </w:t>
      </w:r>
      <w:r w:rsidR="001E3287" w:rsidRPr="001E40CD">
        <w:rPr>
          <w:rFonts w:asciiTheme="minorHAnsi" w:hAnsiTheme="minorHAnsi" w:cstheme="minorHAnsi"/>
        </w:rPr>
        <w:t>p</w:t>
      </w:r>
      <w:r w:rsidRPr="001E40CD">
        <w:rPr>
          <w:rFonts w:asciiTheme="minorHAnsi" w:hAnsiTheme="minorHAnsi" w:cstheme="minorHAnsi"/>
        </w:rPr>
        <w:t xml:space="preserve">rospectus </w:t>
      </w:r>
      <w:r w:rsidR="005058E5">
        <w:rPr>
          <w:rFonts w:asciiTheme="minorHAnsi" w:hAnsiTheme="minorHAnsi" w:cstheme="minorHAnsi"/>
        </w:rPr>
        <w:t>has been E-identified by the CSSF on 23 July 2026</w:t>
      </w:r>
      <w:r w:rsidRPr="001E40CD">
        <w:rPr>
          <w:rFonts w:asciiTheme="minorHAnsi" w:hAnsiTheme="minorHAnsi" w:cstheme="minorHAnsi"/>
        </w:rPr>
        <w:t>. Main changes are as follows:</w:t>
      </w:r>
    </w:p>
    <w:p w14:paraId="629F6113" w14:textId="77777777" w:rsidR="00102B2A" w:rsidRPr="001E40CD" w:rsidRDefault="00102B2A" w:rsidP="001E40CD">
      <w:pPr>
        <w:ind w:left="0"/>
        <w:jc w:val="both"/>
        <w:rPr>
          <w:rFonts w:asciiTheme="minorHAnsi" w:hAnsiTheme="minorHAnsi" w:cstheme="minorHAnsi"/>
        </w:rPr>
      </w:pPr>
    </w:p>
    <w:p w14:paraId="70D7DF75" w14:textId="189E6740" w:rsidR="00F81BFB" w:rsidRPr="001E40CD" w:rsidRDefault="00F81BFB" w:rsidP="001E40CD">
      <w:pPr>
        <w:pStyle w:val="ListParagraph"/>
        <w:numPr>
          <w:ilvl w:val="0"/>
          <w:numId w:val="5"/>
        </w:numPr>
        <w:ind w:left="567"/>
        <w:jc w:val="both"/>
        <w:rPr>
          <w:rFonts w:asciiTheme="minorHAnsi" w:hAnsiTheme="minorHAnsi" w:cstheme="minorHAnsi"/>
          <w:b/>
          <w:bCs/>
        </w:rPr>
      </w:pPr>
      <w:r w:rsidRPr="001E40CD">
        <w:rPr>
          <w:rFonts w:asciiTheme="minorHAnsi" w:hAnsiTheme="minorHAnsi" w:cstheme="minorHAnsi"/>
          <w:b/>
          <w:bCs/>
        </w:rPr>
        <w:t>Investment Polic</w:t>
      </w:r>
      <w:r w:rsidR="001E40CD">
        <w:rPr>
          <w:rFonts w:asciiTheme="minorHAnsi" w:hAnsiTheme="minorHAnsi" w:cstheme="minorHAnsi"/>
          <w:b/>
          <w:bCs/>
        </w:rPr>
        <w:t>ies</w:t>
      </w:r>
      <w:r w:rsidRPr="001E40CD">
        <w:rPr>
          <w:rFonts w:asciiTheme="minorHAnsi" w:hAnsiTheme="minorHAnsi" w:cstheme="minorHAnsi"/>
          <w:b/>
          <w:bCs/>
        </w:rPr>
        <w:t xml:space="preserve"> updates</w:t>
      </w:r>
    </w:p>
    <w:p w14:paraId="02135B44" w14:textId="77777777" w:rsidR="00F81BFB" w:rsidRPr="001E40CD" w:rsidRDefault="00F81BFB" w:rsidP="001E40CD">
      <w:pPr>
        <w:ind w:left="0"/>
        <w:jc w:val="both"/>
        <w:rPr>
          <w:rFonts w:asciiTheme="minorHAnsi" w:hAnsiTheme="minorHAnsi" w:cstheme="minorHAnsi"/>
        </w:rPr>
      </w:pPr>
    </w:p>
    <w:p w14:paraId="539DB436" w14:textId="494BD819" w:rsidR="002A57DD" w:rsidRPr="001E40CD" w:rsidRDefault="002A57DD" w:rsidP="001E40CD">
      <w:pPr>
        <w:pStyle w:val="ListParagraph"/>
        <w:numPr>
          <w:ilvl w:val="0"/>
          <w:numId w:val="14"/>
        </w:numPr>
        <w:jc w:val="both"/>
        <w:rPr>
          <w:rFonts w:asciiTheme="minorHAnsi" w:hAnsiTheme="minorHAnsi" w:cstheme="minorHAnsi"/>
        </w:rPr>
      </w:pPr>
      <w:r w:rsidRPr="001E40CD">
        <w:rPr>
          <w:rFonts w:asciiTheme="minorHAnsi" w:hAnsiTheme="minorHAnsi" w:cstheme="minorHAnsi"/>
        </w:rPr>
        <w:t xml:space="preserve">Franklin Diversified Income Fund: </w:t>
      </w:r>
    </w:p>
    <w:p w14:paraId="6417506F" w14:textId="3876A21F" w:rsidR="002A57DD" w:rsidRPr="001E40CD" w:rsidRDefault="002A57DD" w:rsidP="001E40CD">
      <w:pPr>
        <w:pStyle w:val="ListParagraph"/>
        <w:numPr>
          <w:ilvl w:val="0"/>
          <w:numId w:val="15"/>
        </w:numPr>
        <w:ind w:left="1134"/>
        <w:jc w:val="both"/>
        <w:rPr>
          <w:rFonts w:asciiTheme="minorHAnsi" w:hAnsiTheme="minorHAnsi" w:cstheme="minorHAnsi"/>
        </w:rPr>
      </w:pPr>
      <w:r w:rsidRPr="001E40CD">
        <w:rPr>
          <w:rFonts w:asciiTheme="minorHAnsi" w:hAnsiTheme="minorHAnsi" w:cstheme="minorHAnsi"/>
        </w:rPr>
        <w:t>Clarification of the investment policy to better reflect the current portfolio composition</w:t>
      </w:r>
      <w:r w:rsidR="001F046B" w:rsidRPr="001E40CD">
        <w:rPr>
          <w:rFonts w:asciiTheme="minorHAnsi" w:hAnsiTheme="minorHAnsi" w:cstheme="minorHAnsi"/>
        </w:rPr>
        <w:t xml:space="preserve"> (i.e. decrease of intended investments in non-investment grade debt securities from up to 100% to up to 30%</w:t>
      </w:r>
      <w:r w:rsidR="00AE35C4">
        <w:rPr>
          <w:rFonts w:asciiTheme="minorHAnsi" w:hAnsiTheme="minorHAnsi" w:cstheme="minorHAnsi"/>
        </w:rPr>
        <w:t xml:space="preserve"> typically, </w:t>
      </w:r>
      <w:r w:rsidR="004B6F6E">
        <w:rPr>
          <w:rFonts w:asciiTheme="minorHAnsi" w:hAnsiTheme="minorHAnsi" w:cstheme="minorHAnsi"/>
        </w:rPr>
        <w:t xml:space="preserve">with the possibility to have greater exposure </w:t>
      </w:r>
      <w:r w:rsidR="00AE35C4">
        <w:rPr>
          <w:rFonts w:asciiTheme="minorHAnsi" w:hAnsiTheme="minorHAnsi" w:cstheme="minorHAnsi"/>
        </w:rPr>
        <w:t>depending on market conditions</w:t>
      </w:r>
      <w:r w:rsidR="001F046B" w:rsidRPr="001E40CD">
        <w:rPr>
          <w:rFonts w:asciiTheme="minorHAnsi" w:hAnsiTheme="minorHAnsi" w:cstheme="minorHAnsi"/>
        </w:rPr>
        <w:t>)</w:t>
      </w:r>
      <w:r w:rsidRPr="001E40CD">
        <w:rPr>
          <w:rFonts w:asciiTheme="minorHAnsi" w:hAnsiTheme="minorHAnsi" w:cstheme="minorHAnsi"/>
        </w:rPr>
        <w:t>.</w:t>
      </w:r>
    </w:p>
    <w:p w14:paraId="6D75A3D7" w14:textId="0DDDBCDF" w:rsidR="002A57DD" w:rsidRPr="001E40CD" w:rsidRDefault="002A57DD" w:rsidP="001E40CD">
      <w:pPr>
        <w:pStyle w:val="ListParagraph"/>
        <w:numPr>
          <w:ilvl w:val="0"/>
          <w:numId w:val="15"/>
        </w:numPr>
        <w:ind w:left="1134"/>
        <w:jc w:val="both"/>
        <w:rPr>
          <w:rFonts w:asciiTheme="minorHAnsi" w:hAnsiTheme="minorHAnsi" w:cstheme="minorHAnsi"/>
        </w:rPr>
      </w:pPr>
      <w:r w:rsidRPr="001E40CD">
        <w:rPr>
          <w:rFonts w:asciiTheme="minorHAnsi" w:hAnsiTheme="minorHAnsi" w:cstheme="minorHAnsi"/>
        </w:rPr>
        <w:t>Change of global exposure methodology from the Commitment Approach to Absolute VaR.</w:t>
      </w:r>
      <w:r w:rsidR="007E4271">
        <w:rPr>
          <w:rFonts w:asciiTheme="minorHAnsi" w:hAnsiTheme="minorHAnsi" w:cstheme="minorHAnsi"/>
        </w:rPr>
        <w:t xml:space="preserve"> </w:t>
      </w:r>
      <w:r w:rsidR="007E4271">
        <w:rPr>
          <w:rFonts w:asciiTheme="minorHAnsi" w:hAnsiTheme="minorHAnsi" w:cstheme="minorHAnsi"/>
          <w:color w:val="FF0000"/>
        </w:rPr>
        <w:t>website notice</w:t>
      </w:r>
    </w:p>
    <w:p w14:paraId="7AC99A2B" w14:textId="77777777" w:rsidR="003D6D3A" w:rsidRPr="001E40CD" w:rsidRDefault="003D6D3A" w:rsidP="001E40CD">
      <w:pPr>
        <w:ind w:left="0"/>
        <w:jc w:val="both"/>
        <w:rPr>
          <w:rFonts w:asciiTheme="minorHAnsi" w:hAnsiTheme="minorHAnsi" w:cstheme="minorHAnsi"/>
        </w:rPr>
      </w:pPr>
    </w:p>
    <w:p w14:paraId="551B5010" w14:textId="52CC1835" w:rsidR="002A57DD" w:rsidRPr="001E40CD" w:rsidRDefault="002A57DD" w:rsidP="001E40CD">
      <w:pPr>
        <w:pStyle w:val="ListParagraph"/>
        <w:numPr>
          <w:ilvl w:val="0"/>
          <w:numId w:val="13"/>
        </w:numPr>
        <w:jc w:val="both"/>
        <w:rPr>
          <w:rFonts w:asciiTheme="minorHAnsi" w:hAnsiTheme="minorHAnsi" w:cstheme="minorHAnsi"/>
        </w:rPr>
      </w:pPr>
      <w:r w:rsidRPr="001E40CD">
        <w:rPr>
          <w:rFonts w:asciiTheme="minorHAnsi" w:hAnsiTheme="minorHAnsi" w:cstheme="minorHAnsi"/>
        </w:rPr>
        <w:t xml:space="preserve">Franklin Strategic Income Fund: </w:t>
      </w:r>
    </w:p>
    <w:p w14:paraId="13DB5174" w14:textId="6D5AAFA2" w:rsidR="002A57DD" w:rsidRPr="001E40CD" w:rsidRDefault="002A57DD" w:rsidP="001E40CD">
      <w:pPr>
        <w:pStyle w:val="ListParagraph"/>
        <w:numPr>
          <w:ilvl w:val="0"/>
          <w:numId w:val="16"/>
        </w:numPr>
        <w:ind w:left="1134"/>
        <w:jc w:val="both"/>
        <w:rPr>
          <w:rFonts w:asciiTheme="minorHAnsi" w:hAnsiTheme="minorHAnsi" w:cstheme="minorHAnsi"/>
        </w:rPr>
      </w:pPr>
      <w:r w:rsidRPr="001E40CD">
        <w:rPr>
          <w:rFonts w:asciiTheme="minorHAnsi" w:hAnsiTheme="minorHAnsi" w:cstheme="minorHAnsi"/>
        </w:rPr>
        <w:t>Change of global exposure methodology from Relative VaR to Absolute VaR.</w:t>
      </w:r>
      <w:r w:rsidR="007E4271">
        <w:rPr>
          <w:rFonts w:asciiTheme="minorHAnsi" w:hAnsiTheme="minorHAnsi" w:cstheme="minorHAnsi"/>
        </w:rPr>
        <w:t xml:space="preserve"> </w:t>
      </w:r>
      <w:r w:rsidR="007E4271">
        <w:rPr>
          <w:rFonts w:asciiTheme="minorHAnsi" w:hAnsiTheme="minorHAnsi" w:cstheme="minorHAnsi"/>
          <w:color w:val="FF0000"/>
        </w:rPr>
        <w:t>website notice</w:t>
      </w:r>
    </w:p>
    <w:p w14:paraId="5A26D18E" w14:textId="77777777" w:rsidR="003D6D3A" w:rsidRPr="001E40CD" w:rsidRDefault="003D6D3A" w:rsidP="001E40CD">
      <w:pPr>
        <w:ind w:left="0"/>
        <w:jc w:val="both"/>
        <w:rPr>
          <w:rFonts w:asciiTheme="minorHAnsi" w:hAnsiTheme="minorHAnsi" w:cstheme="minorHAnsi"/>
        </w:rPr>
      </w:pPr>
    </w:p>
    <w:p w14:paraId="7B901E41" w14:textId="20F6B9F1" w:rsidR="003D6D3A" w:rsidRPr="001E40CD" w:rsidRDefault="003D6D3A" w:rsidP="001E40CD">
      <w:pPr>
        <w:pStyle w:val="ListParagraph"/>
        <w:numPr>
          <w:ilvl w:val="0"/>
          <w:numId w:val="12"/>
        </w:numPr>
        <w:jc w:val="both"/>
        <w:rPr>
          <w:rFonts w:asciiTheme="minorHAnsi" w:hAnsiTheme="minorHAnsi" w:cstheme="minorHAnsi"/>
        </w:rPr>
      </w:pPr>
      <w:r w:rsidRPr="001E40CD">
        <w:rPr>
          <w:rFonts w:asciiTheme="minorHAnsi" w:hAnsiTheme="minorHAnsi" w:cstheme="minorHAnsi"/>
        </w:rPr>
        <w:t>Templeton Global Value and Income Fund, Templeton Emerging Markets Bond Fund, Templeton Global Income Fund, Templeton Asian Bond Fund, Templeton Sustainable Global Bond (Euro) Fund, Templeton Global High Yield Fund, Templeton Emerging Markets Dynamic Income Fund</w:t>
      </w:r>
      <w:r w:rsidR="00920474">
        <w:rPr>
          <w:rFonts w:asciiTheme="minorHAnsi" w:hAnsiTheme="minorHAnsi" w:cstheme="minorHAnsi"/>
        </w:rPr>
        <w:t>,</w:t>
      </w:r>
      <w:r w:rsidRPr="001E40CD">
        <w:rPr>
          <w:rFonts w:asciiTheme="minorHAnsi" w:hAnsiTheme="minorHAnsi" w:cstheme="minorHAnsi"/>
        </w:rPr>
        <w:t xml:space="preserve"> Templeton Sustainable Emerging Markets Local Currency Bond Fund</w:t>
      </w:r>
      <w:r w:rsidR="00920474">
        <w:rPr>
          <w:rFonts w:asciiTheme="minorHAnsi" w:hAnsiTheme="minorHAnsi" w:cstheme="minorHAnsi"/>
        </w:rPr>
        <w:t>, Templeton Global Bond Fund and Templeton Global Total Return Fund</w:t>
      </w:r>
      <w:r w:rsidRPr="001E40CD">
        <w:rPr>
          <w:rFonts w:asciiTheme="minorHAnsi" w:hAnsiTheme="minorHAnsi" w:cstheme="minorHAnsi"/>
        </w:rPr>
        <w:t>:</w:t>
      </w:r>
    </w:p>
    <w:p w14:paraId="5E074F5F" w14:textId="2B569FA8" w:rsidR="002A57DD" w:rsidRPr="001E40CD" w:rsidRDefault="003D6D3A" w:rsidP="001E40CD">
      <w:pPr>
        <w:pStyle w:val="ListParagraph"/>
        <w:numPr>
          <w:ilvl w:val="0"/>
          <w:numId w:val="4"/>
        </w:numPr>
        <w:ind w:left="1134"/>
        <w:jc w:val="both"/>
        <w:rPr>
          <w:rFonts w:asciiTheme="minorHAnsi" w:hAnsiTheme="minorHAnsi" w:cstheme="minorHAnsi"/>
        </w:rPr>
      </w:pPr>
      <w:r w:rsidRPr="001E40CD">
        <w:rPr>
          <w:rFonts w:asciiTheme="minorHAnsi" w:hAnsiTheme="minorHAnsi" w:cstheme="minorHAnsi"/>
        </w:rPr>
        <w:t xml:space="preserve">Addition of examples of derivative instruments introduced in a more explicit manner which were already covered in the funds’ investment policy (i.e. </w:t>
      </w:r>
      <w:r w:rsidR="00C24C3C">
        <w:rPr>
          <w:rFonts w:asciiTheme="minorHAnsi" w:hAnsiTheme="minorHAnsi" w:cstheme="minorHAnsi"/>
        </w:rPr>
        <w:t xml:space="preserve">currency, interest rate, inflation, </w:t>
      </w:r>
      <w:r w:rsidR="007C2C6B" w:rsidRPr="001E40CD">
        <w:rPr>
          <w:rFonts w:asciiTheme="minorHAnsi" w:hAnsiTheme="minorHAnsi" w:cstheme="minorHAnsi"/>
        </w:rPr>
        <w:t>variance and volatility currency swaps, interest rate caps and options on interest rate swaps)</w:t>
      </w:r>
      <w:r w:rsidR="002A57DD" w:rsidRPr="001E40CD">
        <w:rPr>
          <w:rFonts w:asciiTheme="minorHAnsi" w:hAnsiTheme="minorHAnsi" w:cstheme="minorHAnsi"/>
        </w:rPr>
        <w:t>.</w:t>
      </w:r>
    </w:p>
    <w:p w14:paraId="27001003" w14:textId="77777777" w:rsidR="00F81BFB" w:rsidRPr="001E40CD" w:rsidRDefault="00F81BFB" w:rsidP="001E40CD">
      <w:pPr>
        <w:ind w:left="0"/>
        <w:jc w:val="both"/>
        <w:rPr>
          <w:rFonts w:asciiTheme="minorHAnsi" w:hAnsiTheme="minorHAnsi" w:cstheme="minorHAnsi"/>
        </w:rPr>
      </w:pPr>
    </w:p>
    <w:p w14:paraId="0D2C4334" w14:textId="48716AEC" w:rsidR="007B7745" w:rsidRPr="001E40CD" w:rsidRDefault="00577882" w:rsidP="001E40CD">
      <w:pPr>
        <w:pStyle w:val="ListParagraph"/>
        <w:numPr>
          <w:ilvl w:val="0"/>
          <w:numId w:val="11"/>
        </w:numPr>
        <w:jc w:val="both"/>
        <w:rPr>
          <w:rFonts w:asciiTheme="minorHAnsi" w:hAnsiTheme="minorHAnsi" w:cstheme="minorHAnsi"/>
        </w:rPr>
      </w:pPr>
      <w:r w:rsidRPr="001E40CD">
        <w:rPr>
          <w:rFonts w:asciiTheme="minorHAnsi" w:hAnsiTheme="minorHAnsi" w:cstheme="minorHAnsi"/>
        </w:rPr>
        <w:t>Templeton Global Focus Fund, Templeton Global Smaller Companies Fund and Templeton Global Leaders Fund</w:t>
      </w:r>
      <w:r w:rsidR="005058E5">
        <w:rPr>
          <w:rFonts w:asciiTheme="minorHAnsi" w:hAnsiTheme="minorHAnsi" w:cstheme="minorHAnsi"/>
        </w:rPr>
        <w:t xml:space="preserve"> (</w:t>
      </w:r>
      <w:r w:rsidR="005058E5" w:rsidRPr="005058E5">
        <w:rPr>
          <w:rFonts w:asciiTheme="minorHAnsi" w:hAnsiTheme="minorHAnsi" w:cstheme="minorHAnsi"/>
          <w:color w:val="FF0000"/>
        </w:rPr>
        <w:t>effective 22 October 2026</w:t>
      </w:r>
      <w:r w:rsidR="005058E5">
        <w:rPr>
          <w:rFonts w:asciiTheme="minorHAnsi" w:hAnsiTheme="minorHAnsi" w:cstheme="minorHAnsi"/>
        </w:rPr>
        <w:t>)</w:t>
      </w:r>
      <w:r w:rsidR="007B7745" w:rsidRPr="001E40CD">
        <w:rPr>
          <w:rFonts w:asciiTheme="minorHAnsi" w:hAnsiTheme="minorHAnsi" w:cstheme="minorHAnsi"/>
        </w:rPr>
        <w:t xml:space="preserve">: </w:t>
      </w:r>
    </w:p>
    <w:p w14:paraId="753D3063" w14:textId="7EF69BD3" w:rsidR="00577882" w:rsidRPr="001E40CD" w:rsidRDefault="007B7745" w:rsidP="001E40CD">
      <w:pPr>
        <w:pStyle w:val="ListParagraph"/>
        <w:numPr>
          <w:ilvl w:val="0"/>
          <w:numId w:val="4"/>
        </w:numPr>
        <w:ind w:left="1134"/>
        <w:jc w:val="both"/>
        <w:rPr>
          <w:rFonts w:asciiTheme="minorHAnsi" w:hAnsiTheme="minorHAnsi" w:cstheme="minorHAnsi"/>
        </w:rPr>
      </w:pPr>
      <w:r w:rsidRPr="001E40CD">
        <w:rPr>
          <w:rFonts w:asciiTheme="minorHAnsi" w:hAnsiTheme="minorHAnsi" w:cstheme="minorHAnsi"/>
        </w:rPr>
        <w:t xml:space="preserve">Amendment of investment policy </w:t>
      </w:r>
      <w:r w:rsidR="00577882" w:rsidRPr="001E40CD">
        <w:rPr>
          <w:rFonts w:asciiTheme="minorHAnsi" w:hAnsiTheme="minorHAnsi" w:cstheme="minorHAnsi"/>
        </w:rPr>
        <w:t xml:space="preserve">to enable the investment manager to invest in China A-Shares and China B-Shares </w:t>
      </w:r>
      <w:r w:rsidR="00063918" w:rsidRPr="001E40CD">
        <w:rPr>
          <w:rFonts w:asciiTheme="minorHAnsi" w:hAnsiTheme="minorHAnsi" w:cstheme="minorHAnsi"/>
          <w:color w:val="FF0000"/>
        </w:rPr>
        <w:t>3-month</w:t>
      </w:r>
      <w:r w:rsidR="00577882" w:rsidRPr="001E40CD">
        <w:rPr>
          <w:rFonts w:asciiTheme="minorHAnsi" w:hAnsiTheme="minorHAnsi" w:cstheme="minorHAnsi"/>
          <w:color w:val="FF0000"/>
        </w:rPr>
        <w:t xml:space="preserve"> prior notice required (Asian insurance clients)</w:t>
      </w:r>
    </w:p>
    <w:p w14:paraId="16919E39" w14:textId="77777777" w:rsidR="002A57DD" w:rsidRPr="001E40CD" w:rsidRDefault="002A57DD" w:rsidP="001E40CD">
      <w:pPr>
        <w:ind w:left="0"/>
        <w:rPr>
          <w:rFonts w:asciiTheme="minorHAnsi" w:hAnsiTheme="minorHAnsi" w:cstheme="minorHAnsi"/>
          <w:spacing w:val="0"/>
          <w:lang w:eastAsia="en-GB"/>
        </w:rPr>
      </w:pPr>
    </w:p>
    <w:p w14:paraId="5CCA78D0" w14:textId="2624CFB1" w:rsidR="00F81BFB" w:rsidRPr="001E40CD" w:rsidRDefault="00F81BFB" w:rsidP="001E40CD">
      <w:pPr>
        <w:pStyle w:val="ListParagraph"/>
        <w:numPr>
          <w:ilvl w:val="0"/>
          <w:numId w:val="9"/>
        </w:numPr>
        <w:rPr>
          <w:rFonts w:asciiTheme="minorHAnsi" w:hAnsiTheme="minorHAnsi" w:cstheme="minorHAnsi"/>
          <w:spacing w:val="0"/>
          <w:lang w:eastAsia="en-GB"/>
        </w:rPr>
      </w:pPr>
      <w:r w:rsidRPr="001E40CD">
        <w:rPr>
          <w:rFonts w:asciiTheme="minorHAnsi" w:hAnsiTheme="minorHAnsi" w:cstheme="minorHAnsi"/>
          <w:spacing w:val="0"/>
          <w:lang w:eastAsia="en-GB"/>
        </w:rPr>
        <w:t>Franklin U.S. Dollar Short</w:t>
      </w:r>
      <w:r w:rsidRPr="001E40CD">
        <w:rPr>
          <w:rFonts w:asciiTheme="minorHAnsi" w:hAnsiTheme="minorHAnsi" w:cstheme="minorHAnsi"/>
          <w:spacing w:val="0"/>
          <w:lang w:eastAsia="en-GB"/>
        </w:rPr>
        <w:noBreakHyphen/>
        <w:t>Term Money Market Fund</w:t>
      </w:r>
      <w:r w:rsidR="005058E5">
        <w:rPr>
          <w:rFonts w:asciiTheme="minorHAnsi" w:hAnsiTheme="minorHAnsi" w:cstheme="minorHAnsi"/>
          <w:spacing w:val="0"/>
          <w:lang w:eastAsia="en-GB"/>
        </w:rPr>
        <w:t xml:space="preserve"> (</w:t>
      </w:r>
      <w:r w:rsidR="005058E5" w:rsidRPr="005058E5">
        <w:rPr>
          <w:rFonts w:asciiTheme="minorHAnsi" w:hAnsiTheme="minorHAnsi" w:cstheme="minorHAnsi"/>
          <w:color w:val="FF0000"/>
          <w:spacing w:val="0"/>
          <w:lang w:eastAsia="en-GB"/>
        </w:rPr>
        <w:t>effective 22 September 2026</w:t>
      </w:r>
      <w:r w:rsidR="005058E5">
        <w:rPr>
          <w:rFonts w:asciiTheme="minorHAnsi" w:hAnsiTheme="minorHAnsi" w:cstheme="minorHAnsi"/>
          <w:spacing w:val="0"/>
          <w:lang w:eastAsia="en-GB"/>
        </w:rPr>
        <w:t>)</w:t>
      </w:r>
      <w:r w:rsidRPr="001E40CD">
        <w:rPr>
          <w:rFonts w:asciiTheme="minorHAnsi" w:hAnsiTheme="minorHAnsi" w:cstheme="minorHAnsi"/>
          <w:spacing w:val="0"/>
          <w:lang w:eastAsia="en-GB"/>
        </w:rPr>
        <w:t xml:space="preserve">: </w:t>
      </w:r>
    </w:p>
    <w:p w14:paraId="5E89B454" w14:textId="38942283" w:rsidR="00F81BFB" w:rsidRPr="001E40CD" w:rsidRDefault="00F81BFB" w:rsidP="001E40CD">
      <w:pPr>
        <w:pStyle w:val="ListParagraph"/>
        <w:numPr>
          <w:ilvl w:val="0"/>
          <w:numId w:val="10"/>
        </w:numPr>
        <w:ind w:left="1134"/>
        <w:rPr>
          <w:rFonts w:asciiTheme="minorHAnsi" w:hAnsiTheme="minorHAnsi" w:cstheme="minorHAnsi"/>
          <w:spacing w:val="0"/>
          <w:lang w:eastAsia="en-GB"/>
        </w:rPr>
      </w:pPr>
      <w:r w:rsidRPr="001E40CD">
        <w:rPr>
          <w:rFonts w:asciiTheme="minorHAnsi" w:hAnsiTheme="minorHAnsi" w:cstheme="minorHAnsi"/>
          <w:spacing w:val="0"/>
          <w:lang w:eastAsia="en-GB"/>
        </w:rPr>
        <w:t>Addition of fund external rating agencies disclosures (with costs capped, assessed as non</w:t>
      </w:r>
      <w:r w:rsidRPr="001E40CD">
        <w:rPr>
          <w:rFonts w:asciiTheme="minorHAnsi" w:hAnsiTheme="minorHAnsi" w:cstheme="minorHAnsi"/>
          <w:spacing w:val="0"/>
          <w:lang w:eastAsia="en-GB"/>
        </w:rPr>
        <w:noBreakHyphen/>
        <w:t xml:space="preserve">material and taken from the </w:t>
      </w:r>
      <w:r w:rsidR="00A73724">
        <w:rPr>
          <w:rFonts w:asciiTheme="minorHAnsi" w:hAnsiTheme="minorHAnsi" w:cstheme="minorHAnsi"/>
          <w:spacing w:val="0"/>
          <w:lang w:eastAsia="en-GB"/>
        </w:rPr>
        <w:t>fund</w:t>
      </w:r>
      <w:r w:rsidR="00F179AA" w:rsidRPr="001E40CD">
        <w:rPr>
          <w:rFonts w:asciiTheme="minorHAnsi" w:hAnsiTheme="minorHAnsi" w:cstheme="minorHAnsi"/>
          <w:spacing w:val="0"/>
          <w:lang w:eastAsia="en-GB"/>
        </w:rPr>
        <w:t xml:space="preserve">’s </w:t>
      </w:r>
      <w:r w:rsidRPr="001E40CD">
        <w:rPr>
          <w:rFonts w:asciiTheme="minorHAnsi" w:hAnsiTheme="minorHAnsi" w:cstheme="minorHAnsi"/>
          <w:spacing w:val="0"/>
          <w:lang w:eastAsia="en-GB"/>
        </w:rPr>
        <w:t>NAV).</w:t>
      </w:r>
    </w:p>
    <w:p w14:paraId="63D7E284" w14:textId="77777777" w:rsidR="00F81BFB" w:rsidRPr="001E40CD" w:rsidRDefault="00F81BFB" w:rsidP="001E40CD">
      <w:pPr>
        <w:pStyle w:val="ListParagraph"/>
        <w:numPr>
          <w:ilvl w:val="0"/>
          <w:numId w:val="10"/>
        </w:numPr>
        <w:ind w:left="1134"/>
        <w:rPr>
          <w:rFonts w:asciiTheme="minorHAnsi" w:hAnsiTheme="minorHAnsi" w:cstheme="minorHAnsi"/>
          <w:spacing w:val="0"/>
          <w:lang w:eastAsia="en-GB"/>
        </w:rPr>
      </w:pPr>
      <w:r w:rsidRPr="001E40CD">
        <w:rPr>
          <w:rFonts w:asciiTheme="minorHAnsi" w:hAnsiTheme="minorHAnsi" w:cstheme="minorHAnsi"/>
          <w:spacing w:val="0"/>
          <w:lang w:eastAsia="en-GB"/>
        </w:rPr>
        <w:t>Increased expected and maximum exposure to reverse repurchase agreements.</w:t>
      </w:r>
    </w:p>
    <w:p w14:paraId="6C19C049" w14:textId="43754E76" w:rsidR="00F81BFB" w:rsidRPr="001E40CD" w:rsidRDefault="00F81BFB" w:rsidP="001E40CD">
      <w:pPr>
        <w:pStyle w:val="ListParagraph"/>
        <w:numPr>
          <w:ilvl w:val="0"/>
          <w:numId w:val="10"/>
        </w:numPr>
        <w:ind w:left="1134"/>
        <w:rPr>
          <w:rFonts w:asciiTheme="minorHAnsi" w:hAnsiTheme="minorHAnsi" w:cstheme="minorHAnsi"/>
          <w:spacing w:val="0"/>
          <w:lang w:eastAsia="en-GB"/>
        </w:rPr>
      </w:pPr>
      <w:r w:rsidRPr="001E40CD">
        <w:rPr>
          <w:rFonts w:asciiTheme="minorHAnsi" w:hAnsiTheme="minorHAnsi" w:cstheme="minorHAnsi"/>
          <w:spacing w:val="0"/>
          <w:lang w:eastAsia="en-GB"/>
        </w:rPr>
        <w:t>Alignment of collateral final maturity with</w:t>
      </w:r>
      <w:r w:rsidR="001F046B" w:rsidRPr="001E40CD">
        <w:rPr>
          <w:rFonts w:asciiTheme="minorHAnsi" w:hAnsiTheme="minorHAnsi" w:cstheme="minorHAnsi"/>
          <w:spacing w:val="0"/>
          <w:lang w:eastAsia="en-GB"/>
        </w:rPr>
        <w:t xml:space="preserve"> the</w:t>
      </w:r>
      <w:r w:rsidRPr="001E40CD">
        <w:rPr>
          <w:rFonts w:asciiTheme="minorHAnsi" w:hAnsiTheme="minorHAnsi" w:cstheme="minorHAnsi"/>
          <w:spacing w:val="0"/>
          <w:lang w:eastAsia="en-GB"/>
        </w:rPr>
        <w:t xml:space="preserve"> </w:t>
      </w:r>
      <w:r w:rsidR="001F046B" w:rsidRPr="001E40CD">
        <w:rPr>
          <w:rFonts w:asciiTheme="minorHAnsi" w:hAnsiTheme="minorHAnsi" w:cstheme="minorHAnsi"/>
          <w:spacing w:val="0"/>
          <w:lang w:eastAsia="en-GB"/>
        </w:rPr>
        <w:t>general M</w:t>
      </w:r>
      <w:r w:rsidRPr="001E40CD">
        <w:rPr>
          <w:rFonts w:asciiTheme="minorHAnsi" w:hAnsiTheme="minorHAnsi" w:cstheme="minorHAnsi"/>
          <w:spacing w:val="0"/>
          <w:lang w:eastAsia="en-GB"/>
        </w:rPr>
        <w:t xml:space="preserve">oney </w:t>
      </w:r>
      <w:r w:rsidR="001F046B" w:rsidRPr="001E40CD">
        <w:rPr>
          <w:rFonts w:asciiTheme="minorHAnsi" w:hAnsiTheme="minorHAnsi" w:cstheme="minorHAnsi"/>
          <w:spacing w:val="0"/>
          <w:lang w:eastAsia="en-GB"/>
        </w:rPr>
        <w:t>M</w:t>
      </w:r>
      <w:r w:rsidRPr="001E40CD">
        <w:rPr>
          <w:rFonts w:asciiTheme="minorHAnsi" w:hAnsiTheme="minorHAnsi" w:cstheme="minorHAnsi"/>
          <w:spacing w:val="0"/>
          <w:lang w:eastAsia="en-GB"/>
        </w:rPr>
        <w:t xml:space="preserve">arket </w:t>
      </w:r>
      <w:r w:rsidR="001F046B" w:rsidRPr="001E40CD">
        <w:rPr>
          <w:rFonts w:asciiTheme="minorHAnsi" w:hAnsiTheme="minorHAnsi" w:cstheme="minorHAnsi"/>
          <w:spacing w:val="0"/>
          <w:lang w:eastAsia="en-GB"/>
        </w:rPr>
        <w:t>F</w:t>
      </w:r>
      <w:r w:rsidRPr="001E40CD">
        <w:rPr>
          <w:rFonts w:asciiTheme="minorHAnsi" w:hAnsiTheme="minorHAnsi" w:cstheme="minorHAnsi"/>
          <w:spacing w:val="0"/>
          <w:lang w:eastAsia="en-GB"/>
        </w:rPr>
        <w:t>und</w:t>
      </w:r>
      <w:r w:rsidR="001F046B" w:rsidRPr="001E40CD">
        <w:rPr>
          <w:rFonts w:asciiTheme="minorHAnsi" w:hAnsiTheme="minorHAnsi" w:cstheme="minorHAnsi"/>
          <w:spacing w:val="0"/>
          <w:lang w:eastAsia="en-GB"/>
        </w:rPr>
        <w:t xml:space="preserve"> regulation</w:t>
      </w:r>
      <w:r w:rsidRPr="001E40CD">
        <w:rPr>
          <w:rFonts w:asciiTheme="minorHAnsi" w:hAnsiTheme="minorHAnsi" w:cstheme="minorHAnsi"/>
          <w:spacing w:val="0"/>
          <w:lang w:eastAsia="en-GB"/>
        </w:rPr>
        <w:t>.</w:t>
      </w:r>
    </w:p>
    <w:p w14:paraId="32F2A4A9" w14:textId="7D8CCBD2" w:rsidR="00F81BFB" w:rsidRPr="001E40CD" w:rsidRDefault="00063918" w:rsidP="001E40CD">
      <w:pPr>
        <w:pStyle w:val="ListParagraph"/>
        <w:numPr>
          <w:ilvl w:val="0"/>
          <w:numId w:val="10"/>
        </w:numPr>
        <w:ind w:left="1134"/>
        <w:rPr>
          <w:rFonts w:asciiTheme="minorHAnsi" w:hAnsiTheme="minorHAnsi" w:cstheme="minorHAnsi"/>
          <w:color w:val="FF0000"/>
          <w:spacing w:val="0"/>
          <w:lang w:eastAsia="en-GB"/>
        </w:rPr>
      </w:pPr>
      <w:r>
        <w:rPr>
          <w:rFonts w:asciiTheme="minorHAnsi" w:hAnsiTheme="minorHAnsi" w:cstheme="minorHAnsi"/>
          <w:color w:val="FF0000"/>
          <w:spacing w:val="0"/>
          <w:lang w:eastAsia="en-GB"/>
        </w:rPr>
        <w:t>2</w:t>
      </w:r>
      <w:r w:rsidR="00F81BFB" w:rsidRPr="001E40CD">
        <w:rPr>
          <w:rFonts w:asciiTheme="minorHAnsi" w:hAnsiTheme="minorHAnsi" w:cstheme="minorHAnsi"/>
          <w:color w:val="FF0000"/>
          <w:spacing w:val="0"/>
          <w:lang w:eastAsia="en-GB"/>
        </w:rPr>
        <w:noBreakHyphen/>
        <w:t>month prior notice required.</w:t>
      </w:r>
    </w:p>
    <w:p w14:paraId="113B021B" w14:textId="77777777" w:rsidR="00F81BFB" w:rsidRPr="001E40CD" w:rsidRDefault="00F81BFB" w:rsidP="001E40CD">
      <w:pPr>
        <w:ind w:left="0"/>
        <w:jc w:val="both"/>
        <w:rPr>
          <w:rFonts w:asciiTheme="minorHAnsi" w:hAnsiTheme="minorHAnsi" w:cstheme="minorHAnsi"/>
        </w:rPr>
      </w:pPr>
    </w:p>
    <w:p w14:paraId="62FBE2A1" w14:textId="3597817D" w:rsidR="00C741CA" w:rsidRPr="008A71EE" w:rsidRDefault="00C741CA" w:rsidP="008A71EE">
      <w:pPr>
        <w:pStyle w:val="ListParagraph"/>
        <w:numPr>
          <w:ilvl w:val="0"/>
          <w:numId w:val="7"/>
        </w:numPr>
        <w:ind w:hanging="357"/>
        <w:jc w:val="both"/>
        <w:rPr>
          <w:rFonts w:asciiTheme="minorHAnsi" w:hAnsiTheme="minorHAnsi" w:cstheme="minorHAnsi"/>
        </w:rPr>
      </w:pPr>
      <w:r w:rsidRPr="008A71EE">
        <w:rPr>
          <w:rFonts w:asciiTheme="minorHAnsi" w:hAnsiTheme="minorHAnsi" w:cstheme="minorHAnsi"/>
        </w:rPr>
        <w:t>Franklin Emerging Markets Debt Opportunities Hard Currency Fund</w:t>
      </w:r>
      <w:r w:rsidR="005058E5">
        <w:rPr>
          <w:rFonts w:asciiTheme="minorHAnsi" w:hAnsiTheme="minorHAnsi" w:cstheme="minorHAnsi"/>
        </w:rPr>
        <w:t xml:space="preserve"> (</w:t>
      </w:r>
      <w:r w:rsidR="005058E5" w:rsidRPr="005058E5">
        <w:rPr>
          <w:rFonts w:asciiTheme="minorHAnsi" w:hAnsiTheme="minorHAnsi" w:cstheme="minorHAnsi"/>
          <w:color w:val="FF0000"/>
        </w:rPr>
        <w:t>effective 24 August 2026</w:t>
      </w:r>
      <w:r w:rsidR="005058E5">
        <w:rPr>
          <w:rFonts w:asciiTheme="minorHAnsi" w:hAnsiTheme="minorHAnsi" w:cstheme="minorHAnsi"/>
        </w:rPr>
        <w:t>)</w:t>
      </w:r>
      <w:r w:rsidRPr="008A71EE">
        <w:rPr>
          <w:rFonts w:asciiTheme="minorHAnsi" w:hAnsiTheme="minorHAnsi" w:cstheme="minorHAnsi"/>
        </w:rPr>
        <w:t xml:space="preserve">: </w:t>
      </w:r>
    </w:p>
    <w:p w14:paraId="693EB4AD" w14:textId="58464ABD" w:rsidR="00CD2A30" w:rsidRPr="008A71EE" w:rsidRDefault="005058E5" w:rsidP="008A71EE">
      <w:pPr>
        <w:pStyle w:val="ListParagraph"/>
        <w:numPr>
          <w:ilvl w:val="0"/>
          <w:numId w:val="27"/>
        </w:numPr>
        <w:ind w:left="1134" w:hanging="357"/>
        <w:rPr>
          <w:rFonts w:asciiTheme="minorHAnsi" w:hAnsiTheme="minorHAnsi" w:cstheme="minorHAnsi"/>
          <w:spacing w:val="0"/>
          <w:lang w:eastAsia="en-GB"/>
        </w:rPr>
      </w:pPr>
      <w:r>
        <w:rPr>
          <w:rFonts w:asciiTheme="minorHAnsi" w:hAnsiTheme="minorHAnsi" w:cstheme="minorHAnsi"/>
          <w:spacing w:val="0"/>
          <w:lang w:eastAsia="en-GB"/>
        </w:rPr>
        <w:t>R</w:t>
      </w:r>
      <w:r w:rsidR="00CD2A30" w:rsidRPr="008A71EE">
        <w:rPr>
          <w:rFonts w:asciiTheme="minorHAnsi" w:hAnsiTheme="minorHAnsi" w:cstheme="minorHAnsi"/>
          <w:spacing w:val="0"/>
          <w:lang w:eastAsia="en-GB"/>
        </w:rPr>
        <w:t xml:space="preserve">enaming of the Fund to </w:t>
      </w:r>
      <w:r w:rsidR="00CD2A30" w:rsidRPr="008A71EE">
        <w:rPr>
          <w:rFonts w:asciiTheme="minorHAnsi" w:hAnsiTheme="minorHAnsi" w:cstheme="minorHAnsi"/>
          <w:i/>
          <w:iCs/>
          <w:spacing w:val="0"/>
          <w:lang w:eastAsia="en-GB"/>
        </w:rPr>
        <w:t>Franklin Emerging Markets Debt Opportunities UCITS Fund</w:t>
      </w:r>
      <w:r w:rsidR="00CD2A30" w:rsidRPr="008A71EE">
        <w:rPr>
          <w:rFonts w:asciiTheme="minorHAnsi" w:hAnsiTheme="minorHAnsi" w:cstheme="minorHAnsi"/>
          <w:spacing w:val="0"/>
          <w:lang w:eastAsia="en-GB"/>
        </w:rPr>
        <w:t xml:space="preserve">. </w:t>
      </w:r>
    </w:p>
    <w:p w14:paraId="25A633AE" w14:textId="785CBE3C" w:rsidR="00CD2A30" w:rsidRPr="008A71EE" w:rsidRDefault="00CD2A30" w:rsidP="008A71EE">
      <w:pPr>
        <w:pStyle w:val="ListParagraph"/>
        <w:numPr>
          <w:ilvl w:val="0"/>
          <w:numId w:val="27"/>
        </w:numPr>
        <w:ind w:left="1134" w:hanging="357"/>
        <w:rPr>
          <w:rFonts w:asciiTheme="minorHAnsi" w:hAnsiTheme="minorHAnsi" w:cstheme="minorHAnsi"/>
          <w:spacing w:val="0"/>
          <w:lang w:eastAsia="en-GB"/>
        </w:rPr>
      </w:pPr>
      <w:r w:rsidRPr="008A71EE">
        <w:rPr>
          <w:rFonts w:asciiTheme="minorHAnsi" w:hAnsiTheme="minorHAnsi" w:cstheme="minorHAnsi"/>
          <w:spacing w:val="0"/>
          <w:lang w:eastAsia="en-GB"/>
        </w:rPr>
        <w:t xml:space="preserve">Revision of the investment policy to (i) remove references to “Hard Currency” and (ii) eliminate the minimum credit rating requirement of B-. </w:t>
      </w:r>
    </w:p>
    <w:p w14:paraId="74196416" w14:textId="7A4E70A6" w:rsidR="00CD2A30" w:rsidRPr="008A71EE" w:rsidRDefault="00CD2A30" w:rsidP="008A71EE">
      <w:pPr>
        <w:pStyle w:val="ListParagraph"/>
        <w:numPr>
          <w:ilvl w:val="0"/>
          <w:numId w:val="27"/>
        </w:numPr>
        <w:ind w:left="1134" w:hanging="357"/>
        <w:rPr>
          <w:rFonts w:asciiTheme="minorHAnsi" w:hAnsiTheme="minorHAnsi" w:cstheme="minorHAnsi"/>
          <w:spacing w:val="0"/>
          <w:lang w:eastAsia="en-GB"/>
        </w:rPr>
      </w:pPr>
      <w:r w:rsidRPr="008A71EE">
        <w:rPr>
          <w:rFonts w:asciiTheme="minorHAnsi" w:hAnsiTheme="minorHAnsi" w:cstheme="minorHAnsi"/>
          <w:spacing w:val="0"/>
          <w:lang w:eastAsia="en-GB"/>
        </w:rPr>
        <w:t xml:space="preserve">Introduction of flexibility to invest up to 10% of net assets in distressed securities. </w:t>
      </w:r>
    </w:p>
    <w:p w14:paraId="0D21A3F2" w14:textId="27DFD741" w:rsidR="00CD2A30" w:rsidRPr="008A71EE" w:rsidRDefault="00CD2A30" w:rsidP="008A71EE">
      <w:pPr>
        <w:pStyle w:val="ListParagraph"/>
        <w:numPr>
          <w:ilvl w:val="0"/>
          <w:numId w:val="27"/>
        </w:numPr>
        <w:ind w:left="1134" w:hanging="357"/>
        <w:rPr>
          <w:rFonts w:asciiTheme="minorHAnsi" w:hAnsiTheme="minorHAnsi" w:cstheme="minorHAnsi"/>
          <w:spacing w:val="0"/>
          <w:lang w:eastAsia="en-GB"/>
        </w:rPr>
      </w:pPr>
      <w:r w:rsidRPr="008A71EE">
        <w:rPr>
          <w:rFonts w:asciiTheme="minorHAnsi" w:hAnsiTheme="minorHAnsi" w:cstheme="minorHAnsi"/>
          <w:spacing w:val="0"/>
          <w:lang w:eastAsia="en-GB"/>
        </w:rPr>
        <w:t xml:space="preserve">Change of the Fund’s benchmark to the JPMorgan EMBI Global Diversified Index. </w:t>
      </w:r>
    </w:p>
    <w:p w14:paraId="5E9B2971" w14:textId="55BD0AE7" w:rsidR="00CD2A30" w:rsidRPr="008A71EE" w:rsidRDefault="00CD2A30" w:rsidP="008A71EE">
      <w:pPr>
        <w:pStyle w:val="ListParagraph"/>
        <w:numPr>
          <w:ilvl w:val="0"/>
          <w:numId w:val="27"/>
        </w:numPr>
        <w:ind w:left="1134" w:hanging="357"/>
        <w:rPr>
          <w:rFonts w:asciiTheme="minorHAnsi" w:hAnsiTheme="minorHAnsi" w:cstheme="minorHAnsi"/>
          <w:spacing w:val="0"/>
          <w:lang w:eastAsia="en-GB"/>
        </w:rPr>
      </w:pPr>
      <w:r w:rsidRPr="008A71EE">
        <w:rPr>
          <w:rFonts w:asciiTheme="minorHAnsi" w:hAnsiTheme="minorHAnsi" w:cstheme="minorHAnsi"/>
          <w:spacing w:val="0"/>
          <w:lang w:eastAsia="en-GB"/>
        </w:rPr>
        <w:t xml:space="preserve">Removal of the Fund from the list of funds complying with the German VAG disclosure (Appendix B – “Local Restrictions”). </w:t>
      </w:r>
    </w:p>
    <w:p w14:paraId="0191CC8A" w14:textId="47FE0EDF" w:rsidR="00CD2A30" w:rsidRPr="008A71EE" w:rsidRDefault="00CD2A30" w:rsidP="008A71EE">
      <w:pPr>
        <w:pStyle w:val="ListParagraph"/>
        <w:numPr>
          <w:ilvl w:val="0"/>
          <w:numId w:val="27"/>
        </w:numPr>
        <w:ind w:left="1134" w:hanging="357"/>
        <w:rPr>
          <w:rFonts w:asciiTheme="minorHAnsi" w:hAnsiTheme="minorHAnsi" w:cstheme="minorHAnsi"/>
          <w:spacing w:val="0"/>
          <w:lang w:eastAsia="en-GB"/>
        </w:rPr>
      </w:pPr>
      <w:r w:rsidRPr="008A71EE">
        <w:rPr>
          <w:rFonts w:asciiTheme="minorHAnsi" w:hAnsiTheme="minorHAnsi" w:cstheme="minorHAnsi"/>
          <w:spacing w:val="0"/>
          <w:lang w:eastAsia="en-GB"/>
        </w:rPr>
        <w:t xml:space="preserve">Introduction of a new hedged share class methodology (“H5”), designed to hedge hard currency exposure while leaving local currency exposure unhedged. </w:t>
      </w:r>
      <w:r w:rsidR="005E1F4F">
        <w:rPr>
          <w:rFonts w:asciiTheme="minorHAnsi" w:hAnsiTheme="minorHAnsi" w:cstheme="minorHAnsi"/>
          <w:spacing w:val="0"/>
          <w:lang w:eastAsia="en-GB"/>
        </w:rPr>
        <w:t>The</w:t>
      </w:r>
      <w:r w:rsidRPr="008A71EE">
        <w:rPr>
          <w:rFonts w:asciiTheme="minorHAnsi" w:hAnsiTheme="minorHAnsi" w:cstheme="minorHAnsi"/>
          <w:spacing w:val="0"/>
          <w:lang w:eastAsia="en-GB"/>
        </w:rPr>
        <w:t xml:space="preserve"> existing</w:t>
      </w:r>
      <w:r w:rsidR="005E1F4F">
        <w:rPr>
          <w:rFonts w:asciiTheme="minorHAnsi" w:hAnsiTheme="minorHAnsi" w:cstheme="minorHAnsi"/>
          <w:spacing w:val="0"/>
          <w:lang w:eastAsia="en-GB"/>
        </w:rPr>
        <w:t xml:space="preserve"> H1</w:t>
      </w:r>
      <w:r w:rsidRPr="008A71EE">
        <w:rPr>
          <w:rFonts w:asciiTheme="minorHAnsi" w:hAnsiTheme="minorHAnsi" w:cstheme="minorHAnsi"/>
          <w:spacing w:val="0"/>
          <w:lang w:eastAsia="en-GB"/>
        </w:rPr>
        <w:t xml:space="preserve"> share classes will </w:t>
      </w:r>
      <w:r w:rsidR="005E1F4F">
        <w:rPr>
          <w:rFonts w:asciiTheme="minorHAnsi" w:hAnsiTheme="minorHAnsi" w:cstheme="minorHAnsi"/>
          <w:spacing w:val="0"/>
          <w:lang w:eastAsia="en-GB"/>
        </w:rPr>
        <w:t xml:space="preserve">then </w:t>
      </w:r>
      <w:r w:rsidRPr="008A71EE">
        <w:rPr>
          <w:rFonts w:asciiTheme="minorHAnsi" w:hAnsiTheme="minorHAnsi" w:cstheme="minorHAnsi"/>
          <w:spacing w:val="0"/>
          <w:lang w:eastAsia="en-GB"/>
        </w:rPr>
        <w:t>be converted into the new “H5” structure concurrently with the implementation of the above changes (as detailed in the table below).</w:t>
      </w:r>
    </w:p>
    <w:p w14:paraId="705AA679" w14:textId="77777777" w:rsidR="001E40CD" w:rsidRPr="008A71EE" w:rsidRDefault="001E40CD" w:rsidP="008A71EE">
      <w:pPr>
        <w:pStyle w:val="ListParagraph"/>
        <w:numPr>
          <w:ilvl w:val="0"/>
          <w:numId w:val="27"/>
        </w:numPr>
        <w:ind w:left="1134" w:hanging="357"/>
        <w:rPr>
          <w:rFonts w:asciiTheme="minorHAnsi" w:hAnsiTheme="minorHAnsi" w:cstheme="minorHAnsi"/>
          <w:color w:val="FF0000"/>
          <w:spacing w:val="0"/>
          <w:lang w:eastAsia="en-GB"/>
        </w:rPr>
      </w:pPr>
      <w:r w:rsidRPr="008A71EE">
        <w:rPr>
          <w:rFonts w:asciiTheme="minorHAnsi" w:hAnsiTheme="minorHAnsi" w:cstheme="minorHAnsi"/>
          <w:color w:val="FF0000"/>
          <w:spacing w:val="0"/>
          <w:lang w:eastAsia="en-GB"/>
        </w:rPr>
        <w:t>One</w:t>
      </w:r>
      <w:r w:rsidRPr="008A71EE">
        <w:rPr>
          <w:rFonts w:asciiTheme="minorHAnsi" w:hAnsiTheme="minorHAnsi" w:cstheme="minorHAnsi"/>
          <w:color w:val="FF0000"/>
          <w:spacing w:val="0"/>
          <w:lang w:eastAsia="en-GB"/>
        </w:rPr>
        <w:noBreakHyphen/>
        <w:t>month prior notice required.</w:t>
      </w:r>
    </w:p>
    <w:p w14:paraId="27EF3B69" w14:textId="77777777" w:rsidR="001E40CD" w:rsidRPr="001E40CD" w:rsidRDefault="001E40CD" w:rsidP="001E40CD">
      <w:pPr>
        <w:ind w:left="0"/>
        <w:jc w:val="both"/>
        <w:rPr>
          <w:rFonts w:asciiTheme="minorHAnsi" w:hAnsiTheme="minorHAnsi" w:cstheme="minorHAnsi"/>
        </w:rPr>
      </w:pPr>
    </w:p>
    <w:tbl>
      <w:tblPr>
        <w:tblStyle w:val="TableGrid"/>
        <w:tblW w:w="9641" w:type="dxa"/>
        <w:tblInd w:w="-5" w:type="dxa"/>
        <w:tblLook w:val="04A0" w:firstRow="1" w:lastRow="0" w:firstColumn="1" w:lastColumn="0" w:noHBand="0" w:noVBand="1"/>
      </w:tblPr>
      <w:tblGrid>
        <w:gridCol w:w="4962"/>
        <w:gridCol w:w="4679"/>
      </w:tblGrid>
      <w:tr w:rsidR="000925E0" w:rsidRPr="000925E0" w14:paraId="5ABAB2B6" w14:textId="77777777" w:rsidTr="000925E0">
        <w:tc>
          <w:tcPr>
            <w:tcW w:w="4962" w:type="dxa"/>
          </w:tcPr>
          <w:p w14:paraId="29562DD9" w14:textId="77777777" w:rsidR="000925E0" w:rsidRPr="000925E0" w:rsidRDefault="000925E0" w:rsidP="001E40CD">
            <w:pPr>
              <w:ind w:left="0"/>
              <w:jc w:val="both"/>
              <w:rPr>
                <w:rFonts w:asciiTheme="minorHAnsi" w:hAnsiTheme="minorHAnsi" w:cstheme="minorHAnsi"/>
                <w:b/>
                <w:bCs/>
                <w:sz w:val="18"/>
                <w:szCs w:val="18"/>
                <w:lang w:val="en-US"/>
              </w:rPr>
            </w:pPr>
            <w:r w:rsidRPr="000925E0">
              <w:rPr>
                <w:rFonts w:asciiTheme="minorHAnsi" w:hAnsiTheme="minorHAnsi" w:cstheme="minorHAnsi"/>
                <w:b/>
                <w:bCs/>
                <w:sz w:val="18"/>
                <w:szCs w:val="18"/>
              </w:rPr>
              <w:t>Current share class</w:t>
            </w:r>
          </w:p>
        </w:tc>
        <w:tc>
          <w:tcPr>
            <w:tcW w:w="4679" w:type="dxa"/>
          </w:tcPr>
          <w:p w14:paraId="6A29A563" w14:textId="77777777" w:rsidR="000925E0" w:rsidRPr="000925E0" w:rsidRDefault="000925E0" w:rsidP="001E40CD">
            <w:pPr>
              <w:ind w:left="0"/>
              <w:jc w:val="both"/>
              <w:rPr>
                <w:rFonts w:asciiTheme="minorHAnsi" w:hAnsiTheme="minorHAnsi" w:cstheme="minorHAnsi"/>
                <w:b/>
                <w:bCs/>
                <w:sz w:val="18"/>
                <w:szCs w:val="18"/>
                <w:lang w:val="en-US"/>
              </w:rPr>
            </w:pPr>
            <w:r w:rsidRPr="000925E0">
              <w:rPr>
                <w:rFonts w:asciiTheme="minorHAnsi" w:hAnsiTheme="minorHAnsi" w:cstheme="minorHAnsi"/>
                <w:b/>
                <w:bCs/>
                <w:sz w:val="18"/>
                <w:szCs w:val="18"/>
                <w:lang w:val="en-US"/>
              </w:rPr>
              <w:t>New share class</w:t>
            </w:r>
          </w:p>
        </w:tc>
      </w:tr>
      <w:tr w:rsidR="000925E0" w:rsidRPr="000925E0" w14:paraId="46198147" w14:textId="77777777" w:rsidTr="000925E0">
        <w:tc>
          <w:tcPr>
            <w:tcW w:w="4962" w:type="dxa"/>
            <w:vAlign w:val="bottom"/>
          </w:tcPr>
          <w:p w14:paraId="4A4D8A11" w14:textId="77777777" w:rsidR="000925E0" w:rsidRPr="000925E0" w:rsidRDefault="000925E0" w:rsidP="001E40CD">
            <w:pPr>
              <w:ind w:left="0"/>
              <w:jc w:val="both"/>
              <w:rPr>
                <w:rFonts w:asciiTheme="minorHAnsi" w:hAnsiTheme="minorHAnsi" w:cstheme="minorHAnsi"/>
                <w:sz w:val="18"/>
                <w:szCs w:val="18"/>
                <w:lang w:val="en-US"/>
              </w:rPr>
            </w:pPr>
            <w:r w:rsidRPr="000925E0">
              <w:rPr>
                <w:rFonts w:asciiTheme="minorHAnsi" w:hAnsiTheme="minorHAnsi" w:cstheme="minorHAnsi"/>
                <w:sz w:val="18"/>
                <w:szCs w:val="18"/>
                <w:lang w:val="en-US"/>
              </w:rPr>
              <w:t>Franklin Emerging Markets Debt Opportunities Hard Currency Fund W (Ydis) EUR-H1</w:t>
            </w:r>
          </w:p>
        </w:tc>
        <w:tc>
          <w:tcPr>
            <w:tcW w:w="4679" w:type="dxa"/>
            <w:vAlign w:val="bottom"/>
          </w:tcPr>
          <w:p w14:paraId="1BB6925C" w14:textId="77777777" w:rsidR="000925E0" w:rsidRPr="000925E0" w:rsidRDefault="000925E0" w:rsidP="001E40CD">
            <w:pPr>
              <w:ind w:left="0"/>
              <w:jc w:val="both"/>
              <w:rPr>
                <w:rFonts w:asciiTheme="minorHAnsi" w:hAnsiTheme="minorHAnsi" w:cstheme="minorHAnsi"/>
                <w:sz w:val="18"/>
                <w:szCs w:val="18"/>
                <w:lang w:val="en-US"/>
              </w:rPr>
            </w:pPr>
            <w:r w:rsidRPr="000925E0">
              <w:rPr>
                <w:rFonts w:asciiTheme="minorHAnsi" w:hAnsiTheme="minorHAnsi" w:cstheme="minorHAnsi"/>
                <w:sz w:val="18"/>
                <w:szCs w:val="18"/>
                <w:lang w:val="en-US"/>
              </w:rPr>
              <w:t>Franklin Emerging Markets Debt Opportunities UCITS Fund W (Ydis) EUR-</w:t>
            </w:r>
            <w:r w:rsidRPr="000925E0">
              <w:rPr>
                <w:rFonts w:asciiTheme="minorHAnsi" w:hAnsiTheme="minorHAnsi" w:cstheme="minorHAnsi"/>
                <w:b/>
                <w:bCs/>
                <w:sz w:val="18"/>
                <w:szCs w:val="18"/>
                <w:lang w:val="en-US"/>
              </w:rPr>
              <w:t>H5</w:t>
            </w:r>
          </w:p>
        </w:tc>
      </w:tr>
      <w:tr w:rsidR="000925E0" w:rsidRPr="000925E0" w14:paraId="4694816A" w14:textId="77777777" w:rsidTr="000925E0">
        <w:tc>
          <w:tcPr>
            <w:tcW w:w="4962" w:type="dxa"/>
            <w:vAlign w:val="bottom"/>
          </w:tcPr>
          <w:p w14:paraId="5EACDDB6" w14:textId="542F23CA" w:rsidR="000925E0" w:rsidRPr="000925E0" w:rsidRDefault="000925E0" w:rsidP="001E40CD">
            <w:pPr>
              <w:ind w:left="0"/>
              <w:jc w:val="both"/>
              <w:rPr>
                <w:rFonts w:asciiTheme="minorHAnsi" w:hAnsiTheme="minorHAnsi" w:cstheme="minorHAnsi"/>
                <w:sz w:val="18"/>
                <w:szCs w:val="18"/>
                <w:lang w:val="en-US"/>
              </w:rPr>
            </w:pPr>
            <w:r w:rsidRPr="000925E0">
              <w:rPr>
                <w:rFonts w:asciiTheme="minorHAnsi" w:hAnsiTheme="minorHAnsi" w:cstheme="minorHAnsi"/>
                <w:sz w:val="18"/>
                <w:szCs w:val="18"/>
                <w:lang w:val="en-US"/>
              </w:rPr>
              <w:t xml:space="preserve">Franklin Emerging Markets Debt Opportunities Hard Currency Fund I </w:t>
            </w:r>
            <w:r w:rsidR="005058E5">
              <w:rPr>
                <w:rFonts w:asciiTheme="minorHAnsi" w:hAnsiTheme="minorHAnsi" w:cstheme="minorHAnsi"/>
                <w:sz w:val="18"/>
                <w:szCs w:val="18"/>
                <w:lang w:val="en-US"/>
              </w:rPr>
              <w:t>(</w:t>
            </w:r>
            <w:r w:rsidRPr="000925E0">
              <w:rPr>
                <w:rFonts w:asciiTheme="minorHAnsi" w:hAnsiTheme="minorHAnsi" w:cstheme="minorHAnsi"/>
                <w:sz w:val="18"/>
                <w:szCs w:val="18"/>
                <w:lang w:val="en-US"/>
              </w:rPr>
              <w:t>Ydis</w:t>
            </w:r>
            <w:r w:rsidR="005058E5">
              <w:rPr>
                <w:rFonts w:asciiTheme="minorHAnsi" w:hAnsiTheme="minorHAnsi" w:cstheme="minorHAnsi"/>
                <w:sz w:val="18"/>
                <w:szCs w:val="18"/>
                <w:lang w:val="en-US"/>
              </w:rPr>
              <w:t>)</w:t>
            </w:r>
            <w:r w:rsidRPr="000925E0">
              <w:rPr>
                <w:rFonts w:asciiTheme="minorHAnsi" w:hAnsiTheme="minorHAnsi" w:cstheme="minorHAnsi"/>
                <w:sz w:val="18"/>
                <w:szCs w:val="18"/>
                <w:lang w:val="en-US"/>
              </w:rPr>
              <w:t xml:space="preserve"> EUR-H1</w:t>
            </w:r>
          </w:p>
        </w:tc>
        <w:tc>
          <w:tcPr>
            <w:tcW w:w="4679" w:type="dxa"/>
            <w:vAlign w:val="bottom"/>
          </w:tcPr>
          <w:p w14:paraId="28C271CD" w14:textId="77777777" w:rsidR="000925E0" w:rsidRPr="000925E0" w:rsidRDefault="000925E0" w:rsidP="001E40CD">
            <w:pPr>
              <w:ind w:left="0"/>
              <w:jc w:val="both"/>
              <w:rPr>
                <w:rFonts w:asciiTheme="minorHAnsi" w:hAnsiTheme="minorHAnsi" w:cstheme="minorHAnsi"/>
                <w:sz w:val="18"/>
                <w:szCs w:val="18"/>
                <w:lang w:val="en-US"/>
              </w:rPr>
            </w:pPr>
            <w:r w:rsidRPr="000925E0">
              <w:rPr>
                <w:rFonts w:asciiTheme="minorHAnsi" w:hAnsiTheme="minorHAnsi" w:cstheme="minorHAnsi"/>
                <w:sz w:val="18"/>
                <w:szCs w:val="18"/>
                <w:lang w:val="en-US"/>
              </w:rPr>
              <w:t>Franklin Emerging Markets Debt Opportunities UCITS Fund I Ydis EUR-</w:t>
            </w:r>
            <w:r w:rsidRPr="000925E0">
              <w:rPr>
                <w:rFonts w:asciiTheme="minorHAnsi" w:hAnsiTheme="minorHAnsi" w:cstheme="minorHAnsi"/>
                <w:b/>
                <w:bCs/>
                <w:sz w:val="18"/>
                <w:szCs w:val="18"/>
                <w:lang w:val="en-US"/>
              </w:rPr>
              <w:t>H5</w:t>
            </w:r>
          </w:p>
        </w:tc>
      </w:tr>
      <w:tr w:rsidR="000925E0" w:rsidRPr="000925E0" w14:paraId="3E89D742" w14:textId="77777777" w:rsidTr="000925E0">
        <w:tc>
          <w:tcPr>
            <w:tcW w:w="4962" w:type="dxa"/>
            <w:vAlign w:val="bottom"/>
          </w:tcPr>
          <w:p w14:paraId="4A35A556" w14:textId="77777777" w:rsidR="000925E0" w:rsidRPr="000925E0" w:rsidRDefault="000925E0" w:rsidP="001E40CD">
            <w:pPr>
              <w:ind w:left="0"/>
              <w:jc w:val="both"/>
              <w:rPr>
                <w:rFonts w:asciiTheme="minorHAnsi" w:hAnsiTheme="minorHAnsi" w:cstheme="minorHAnsi"/>
                <w:sz w:val="18"/>
                <w:szCs w:val="18"/>
                <w:lang w:val="en-US"/>
              </w:rPr>
            </w:pPr>
            <w:r w:rsidRPr="000925E0">
              <w:rPr>
                <w:rFonts w:asciiTheme="minorHAnsi" w:hAnsiTheme="minorHAnsi" w:cstheme="minorHAnsi"/>
                <w:sz w:val="18"/>
                <w:szCs w:val="18"/>
                <w:lang w:val="en-US"/>
              </w:rPr>
              <w:t>Franklin Emerging Markets Debt Opportunities Hard Currency Fund W(acc) GBP-H1</w:t>
            </w:r>
          </w:p>
        </w:tc>
        <w:tc>
          <w:tcPr>
            <w:tcW w:w="4679" w:type="dxa"/>
            <w:vAlign w:val="bottom"/>
          </w:tcPr>
          <w:p w14:paraId="0714A851" w14:textId="77777777" w:rsidR="000925E0" w:rsidRPr="000925E0" w:rsidRDefault="000925E0" w:rsidP="001E40CD">
            <w:pPr>
              <w:ind w:left="0"/>
              <w:jc w:val="both"/>
              <w:rPr>
                <w:rFonts w:asciiTheme="minorHAnsi" w:hAnsiTheme="minorHAnsi" w:cstheme="minorHAnsi"/>
                <w:sz w:val="18"/>
                <w:szCs w:val="18"/>
                <w:lang w:val="en-US"/>
              </w:rPr>
            </w:pPr>
            <w:r w:rsidRPr="000925E0">
              <w:rPr>
                <w:rFonts w:asciiTheme="minorHAnsi" w:hAnsiTheme="minorHAnsi" w:cstheme="minorHAnsi"/>
                <w:sz w:val="18"/>
                <w:szCs w:val="18"/>
                <w:lang w:val="en-US"/>
              </w:rPr>
              <w:t>Franklin Emerging Markets Debt Opportunities UCITS Fund W(acc) GBP-</w:t>
            </w:r>
            <w:r w:rsidRPr="000925E0">
              <w:rPr>
                <w:rFonts w:asciiTheme="minorHAnsi" w:hAnsiTheme="minorHAnsi" w:cstheme="minorHAnsi"/>
                <w:b/>
                <w:bCs/>
                <w:sz w:val="18"/>
                <w:szCs w:val="18"/>
                <w:lang w:val="en-US"/>
              </w:rPr>
              <w:t>H5</w:t>
            </w:r>
          </w:p>
        </w:tc>
      </w:tr>
    </w:tbl>
    <w:p w14:paraId="477FABFA" w14:textId="77777777" w:rsidR="00F81BFB" w:rsidRPr="001E40CD" w:rsidRDefault="00F81BFB" w:rsidP="001E40CD">
      <w:pPr>
        <w:ind w:left="0"/>
        <w:jc w:val="both"/>
        <w:rPr>
          <w:rFonts w:asciiTheme="minorHAnsi" w:hAnsiTheme="minorHAnsi" w:cstheme="minorHAnsi"/>
        </w:rPr>
      </w:pPr>
    </w:p>
    <w:p w14:paraId="6E2573ED" w14:textId="77777777" w:rsidR="00F81BFB" w:rsidRPr="001E40CD" w:rsidRDefault="00F81BFB" w:rsidP="001E40CD">
      <w:pPr>
        <w:ind w:left="0"/>
        <w:jc w:val="both"/>
        <w:rPr>
          <w:rFonts w:asciiTheme="minorHAnsi" w:hAnsiTheme="minorHAnsi" w:cstheme="minorHAnsi"/>
        </w:rPr>
      </w:pPr>
    </w:p>
    <w:p w14:paraId="5FE2DDB4" w14:textId="71E80B83" w:rsidR="00F81BFB" w:rsidRPr="001E40CD" w:rsidRDefault="00F81BFB" w:rsidP="001E40CD">
      <w:pPr>
        <w:pStyle w:val="ListParagraph"/>
        <w:numPr>
          <w:ilvl w:val="0"/>
          <w:numId w:val="5"/>
        </w:numPr>
        <w:ind w:left="567"/>
        <w:jc w:val="both"/>
        <w:rPr>
          <w:rFonts w:asciiTheme="minorHAnsi" w:hAnsiTheme="minorHAnsi" w:cstheme="minorHAnsi"/>
          <w:b/>
          <w:bCs/>
        </w:rPr>
      </w:pPr>
      <w:r w:rsidRPr="001E40CD">
        <w:rPr>
          <w:rFonts w:asciiTheme="minorHAnsi" w:hAnsiTheme="minorHAnsi" w:cstheme="minorHAnsi"/>
          <w:b/>
          <w:bCs/>
        </w:rPr>
        <w:t>Share Class Developments</w:t>
      </w:r>
    </w:p>
    <w:p w14:paraId="49B64E56" w14:textId="77777777" w:rsidR="002A57DD" w:rsidRPr="001E40CD" w:rsidRDefault="002A57DD" w:rsidP="001E40CD">
      <w:pPr>
        <w:ind w:left="0"/>
        <w:jc w:val="both"/>
        <w:rPr>
          <w:rFonts w:asciiTheme="minorHAnsi" w:hAnsiTheme="minorHAnsi" w:cstheme="minorHAnsi"/>
          <w:b/>
          <w:bCs/>
        </w:rPr>
      </w:pPr>
    </w:p>
    <w:p w14:paraId="1D603376" w14:textId="77777777" w:rsidR="00F81BFB" w:rsidRPr="00F81BFB" w:rsidRDefault="00F81BFB" w:rsidP="001E40CD">
      <w:pPr>
        <w:numPr>
          <w:ilvl w:val="0"/>
          <w:numId w:val="3"/>
        </w:numPr>
        <w:ind w:left="709"/>
        <w:jc w:val="both"/>
        <w:rPr>
          <w:rFonts w:asciiTheme="minorHAnsi" w:hAnsiTheme="minorHAnsi" w:cstheme="minorHAnsi"/>
        </w:rPr>
      </w:pPr>
      <w:r w:rsidRPr="00F81BFB">
        <w:rPr>
          <w:rFonts w:asciiTheme="minorHAnsi" w:hAnsiTheme="minorHAnsi" w:cstheme="minorHAnsi"/>
        </w:rPr>
        <w:t>Introduction of new CDSC share classes: QA, QB, QC and QD.</w:t>
      </w:r>
    </w:p>
    <w:p w14:paraId="0EA2ED05" w14:textId="77777777" w:rsidR="00F81BFB" w:rsidRPr="00F81BFB" w:rsidRDefault="00F81BFB" w:rsidP="001E40CD">
      <w:pPr>
        <w:numPr>
          <w:ilvl w:val="0"/>
          <w:numId w:val="3"/>
        </w:numPr>
        <w:ind w:left="709"/>
        <w:jc w:val="both"/>
        <w:rPr>
          <w:rFonts w:asciiTheme="minorHAnsi" w:hAnsiTheme="minorHAnsi" w:cstheme="minorHAnsi"/>
        </w:rPr>
      </w:pPr>
      <w:r w:rsidRPr="00F81BFB">
        <w:rPr>
          <w:rFonts w:asciiTheme="minorHAnsi" w:hAnsiTheme="minorHAnsi" w:cstheme="minorHAnsi"/>
        </w:rPr>
        <w:t>Introduction of new retrocession</w:t>
      </w:r>
      <w:r w:rsidRPr="00F81BFB">
        <w:rPr>
          <w:rFonts w:asciiTheme="minorHAnsi" w:hAnsiTheme="minorHAnsi" w:cstheme="minorHAnsi"/>
        </w:rPr>
        <w:noBreakHyphen/>
        <w:t>paying incentive share classes: P3 and P4.</w:t>
      </w:r>
    </w:p>
    <w:p w14:paraId="1B6B804E" w14:textId="4CF59E73" w:rsidR="00F81BFB" w:rsidRPr="00F81BFB" w:rsidRDefault="00F81BFB" w:rsidP="001E40CD">
      <w:pPr>
        <w:numPr>
          <w:ilvl w:val="0"/>
          <w:numId w:val="3"/>
        </w:numPr>
        <w:ind w:left="709"/>
        <w:jc w:val="both"/>
        <w:rPr>
          <w:rFonts w:asciiTheme="minorHAnsi" w:hAnsiTheme="minorHAnsi" w:cstheme="minorHAnsi"/>
        </w:rPr>
      </w:pPr>
      <w:r w:rsidRPr="00F81BFB">
        <w:rPr>
          <w:rFonts w:asciiTheme="minorHAnsi" w:hAnsiTheme="minorHAnsi" w:cstheme="minorHAnsi"/>
        </w:rPr>
        <w:t>Addition of NZD</w:t>
      </w:r>
      <w:r w:rsidRPr="001E40CD">
        <w:rPr>
          <w:rFonts w:asciiTheme="minorHAnsi" w:hAnsiTheme="minorHAnsi" w:cstheme="minorHAnsi"/>
        </w:rPr>
        <w:t xml:space="preserve"> and SAR</w:t>
      </w:r>
      <w:r w:rsidRPr="00F81BFB">
        <w:rPr>
          <w:rFonts w:asciiTheme="minorHAnsi" w:hAnsiTheme="minorHAnsi" w:cstheme="minorHAnsi"/>
        </w:rPr>
        <w:t xml:space="preserve"> as new</w:t>
      </w:r>
      <w:r w:rsidRPr="001E40CD">
        <w:rPr>
          <w:rFonts w:asciiTheme="minorHAnsi" w:hAnsiTheme="minorHAnsi" w:cstheme="minorHAnsi"/>
        </w:rPr>
        <w:t xml:space="preserve"> alternative</w:t>
      </w:r>
      <w:r w:rsidRPr="00F81BFB">
        <w:rPr>
          <w:rFonts w:asciiTheme="minorHAnsi" w:hAnsiTheme="minorHAnsi" w:cstheme="minorHAnsi"/>
        </w:rPr>
        <w:t xml:space="preserve"> </w:t>
      </w:r>
      <w:r w:rsidR="00FC669E" w:rsidRPr="001E40CD">
        <w:rPr>
          <w:rFonts w:asciiTheme="minorHAnsi" w:hAnsiTheme="minorHAnsi" w:cstheme="minorHAnsi"/>
        </w:rPr>
        <w:t xml:space="preserve">share </w:t>
      </w:r>
      <w:r w:rsidRPr="00F81BFB">
        <w:rPr>
          <w:rFonts w:asciiTheme="minorHAnsi" w:hAnsiTheme="minorHAnsi" w:cstheme="minorHAnsi"/>
        </w:rPr>
        <w:t>class currenc</w:t>
      </w:r>
      <w:r w:rsidRPr="001E40CD">
        <w:rPr>
          <w:rFonts w:asciiTheme="minorHAnsi" w:hAnsiTheme="minorHAnsi" w:cstheme="minorHAnsi"/>
        </w:rPr>
        <w:t>ies</w:t>
      </w:r>
      <w:r w:rsidRPr="00F81BFB">
        <w:rPr>
          <w:rFonts w:asciiTheme="minorHAnsi" w:hAnsiTheme="minorHAnsi" w:cstheme="minorHAnsi"/>
        </w:rPr>
        <w:t>.</w:t>
      </w:r>
    </w:p>
    <w:p w14:paraId="1B097878" w14:textId="77777777" w:rsidR="00F81BFB" w:rsidRPr="001E40CD" w:rsidRDefault="00F81BFB" w:rsidP="001E40CD">
      <w:pPr>
        <w:ind w:left="0"/>
        <w:jc w:val="both"/>
        <w:rPr>
          <w:rFonts w:asciiTheme="minorHAnsi" w:hAnsiTheme="minorHAnsi" w:cstheme="minorHAnsi"/>
        </w:rPr>
      </w:pPr>
    </w:p>
    <w:p w14:paraId="4DCA04A3" w14:textId="77777777" w:rsidR="00F81BFB" w:rsidRPr="001E40CD" w:rsidRDefault="00F81BFB" w:rsidP="001E40CD">
      <w:pPr>
        <w:ind w:left="0"/>
        <w:jc w:val="both"/>
        <w:rPr>
          <w:rFonts w:asciiTheme="minorHAnsi" w:hAnsiTheme="minorHAnsi" w:cstheme="minorHAnsi"/>
        </w:rPr>
      </w:pPr>
    </w:p>
    <w:p w14:paraId="37CE4473" w14:textId="7672E389" w:rsidR="00F81BFB" w:rsidRDefault="00F81BFB" w:rsidP="001E40CD">
      <w:pPr>
        <w:pStyle w:val="ListParagraph"/>
        <w:numPr>
          <w:ilvl w:val="0"/>
          <w:numId w:val="5"/>
        </w:numPr>
        <w:ind w:left="567"/>
        <w:jc w:val="both"/>
        <w:rPr>
          <w:rFonts w:asciiTheme="minorHAnsi" w:hAnsiTheme="minorHAnsi" w:cstheme="minorHAnsi"/>
          <w:b/>
          <w:bCs/>
        </w:rPr>
      </w:pPr>
      <w:r w:rsidRPr="001E40CD">
        <w:rPr>
          <w:rFonts w:asciiTheme="minorHAnsi" w:hAnsiTheme="minorHAnsi" w:cstheme="minorHAnsi"/>
          <w:b/>
          <w:bCs/>
        </w:rPr>
        <w:t>Others</w:t>
      </w:r>
    </w:p>
    <w:p w14:paraId="2026DD58" w14:textId="77777777" w:rsidR="00FA6520" w:rsidRPr="00FA6520" w:rsidRDefault="00FA6520" w:rsidP="00FA6520">
      <w:pPr>
        <w:ind w:left="0"/>
        <w:jc w:val="both"/>
        <w:rPr>
          <w:rFonts w:asciiTheme="minorHAnsi" w:hAnsiTheme="minorHAnsi" w:cstheme="minorHAnsi"/>
          <w:b/>
          <w:bCs/>
        </w:rPr>
      </w:pPr>
    </w:p>
    <w:p w14:paraId="020EC78F" w14:textId="1AC1B22E" w:rsidR="00102B2A" w:rsidRPr="001E40CD" w:rsidRDefault="003F3B61" w:rsidP="001E40CD">
      <w:pPr>
        <w:pStyle w:val="ListParagraph"/>
        <w:numPr>
          <w:ilvl w:val="0"/>
          <w:numId w:val="6"/>
        </w:numPr>
        <w:ind w:left="709"/>
        <w:jc w:val="both"/>
        <w:rPr>
          <w:rFonts w:asciiTheme="minorHAnsi" w:hAnsiTheme="minorHAnsi" w:cstheme="minorHAnsi"/>
        </w:rPr>
      </w:pPr>
      <w:r>
        <w:rPr>
          <w:rFonts w:asciiTheme="minorHAnsi" w:hAnsiTheme="minorHAnsi" w:cstheme="minorHAnsi"/>
        </w:rPr>
        <w:t>Addition</w:t>
      </w:r>
      <w:r w:rsidR="00F81BFB" w:rsidRPr="001E40CD">
        <w:rPr>
          <w:rFonts w:asciiTheme="minorHAnsi" w:hAnsiTheme="minorHAnsi" w:cstheme="minorHAnsi"/>
        </w:rPr>
        <w:t xml:space="preserve"> of </w:t>
      </w:r>
      <w:r w:rsidR="00FC669E" w:rsidRPr="001E40CD">
        <w:rPr>
          <w:rFonts w:asciiTheme="minorHAnsi" w:hAnsiTheme="minorHAnsi" w:cstheme="minorHAnsi"/>
          <w:lang w:val="en-US"/>
        </w:rPr>
        <w:t xml:space="preserve">MSCI ACWI Information Technology + MSCI ACWI Communication Services (10/40) Index </w:t>
      </w:r>
      <w:r w:rsidR="00F81BFB" w:rsidRPr="001E40CD">
        <w:rPr>
          <w:rFonts w:asciiTheme="minorHAnsi" w:hAnsiTheme="minorHAnsi" w:cstheme="minorHAnsi"/>
        </w:rPr>
        <w:t>as the primary benchmark</w:t>
      </w:r>
      <w:r w:rsidRPr="003F3B61">
        <w:rPr>
          <w:rFonts w:asciiTheme="minorHAnsi" w:hAnsiTheme="minorHAnsi" w:cstheme="minorHAnsi"/>
        </w:rPr>
        <w:t xml:space="preserve"> </w:t>
      </w:r>
      <w:r>
        <w:rPr>
          <w:rFonts w:asciiTheme="minorHAnsi" w:hAnsiTheme="minorHAnsi" w:cstheme="minorHAnsi"/>
        </w:rPr>
        <w:t>of</w:t>
      </w:r>
      <w:r w:rsidRPr="001E40CD">
        <w:rPr>
          <w:rFonts w:asciiTheme="minorHAnsi" w:hAnsiTheme="minorHAnsi" w:cstheme="minorHAnsi"/>
        </w:rPr>
        <w:t xml:space="preserve"> the Franklin Technology Fund</w:t>
      </w:r>
      <w:r w:rsidR="005058E5">
        <w:rPr>
          <w:rFonts w:asciiTheme="minorHAnsi" w:hAnsiTheme="minorHAnsi" w:cstheme="minorHAnsi"/>
        </w:rPr>
        <w:t xml:space="preserve"> (</w:t>
      </w:r>
      <w:r w:rsidR="005058E5" w:rsidRPr="005058E5">
        <w:rPr>
          <w:rFonts w:asciiTheme="minorHAnsi" w:hAnsiTheme="minorHAnsi" w:cstheme="minorHAnsi"/>
          <w:color w:val="FF0000"/>
        </w:rPr>
        <w:t>effective 21 September 2026</w:t>
      </w:r>
      <w:r w:rsidR="005058E5">
        <w:rPr>
          <w:rFonts w:asciiTheme="minorHAnsi" w:hAnsiTheme="minorHAnsi" w:cstheme="minorHAnsi"/>
        </w:rPr>
        <w:t>)</w:t>
      </w:r>
      <w:r w:rsidR="00F81BFB" w:rsidRPr="001E40CD">
        <w:rPr>
          <w:rFonts w:asciiTheme="minorHAnsi" w:hAnsiTheme="minorHAnsi" w:cstheme="minorHAnsi"/>
        </w:rPr>
        <w:t xml:space="preserve">, </w:t>
      </w:r>
      <w:r>
        <w:rPr>
          <w:rFonts w:asciiTheme="minorHAnsi" w:hAnsiTheme="minorHAnsi" w:cstheme="minorHAnsi"/>
        </w:rPr>
        <w:t>while keeping the existing</w:t>
      </w:r>
      <w:r w:rsidR="00F81BFB" w:rsidRPr="001E40CD">
        <w:rPr>
          <w:rFonts w:asciiTheme="minorHAnsi" w:hAnsiTheme="minorHAnsi" w:cstheme="minorHAnsi"/>
        </w:rPr>
        <w:t xml:space="preserve"> MSCI World</w:t>
      </w:r>
      <w:r w:rsidR="00DE7CCB">
        <w:rPr>
          <w:rFonts w:asciiTheme="minorHAnsi" w:hAnsiTheme="minorHAnsi" w:cstheme="minorHAnsi"/>
        </w:rPr>
        <w:t xml:space="preserve"> information</w:t>
      </w:r>
      <w:r w:rsidR="00F81BFB" w:rsidRPr="001E40CD">
        <w:rPr>
          <w:rFonts w:asciiTheme="minorHAnsi" w:hAnsiTheme="minorHAnsi" w:cstheme="minorHAnsi"/>
        </w:rPr>
        <w:t xml:space="preserve"> Technology Index as </w:t>
      </w:r>
      <w:r>
        <w:rPr>
          <w:rFonts w:asciiTheme="minorHAnsi" w:hAnsiTheme="minorHAnsi" w:cstheme="minorHAnsi"/>
        </w:rPr>
        <w:t>a</w:t>
      </w:r>
      <w:r w:rsidR="00F81BFB" w:rsidRPr="001E40CD">
        <w:rPr>
          <w:rFonts w:asciiTheme="minorHAnsi" w:hAnsiTheme="minorHAnsi" w:cstheme="minorHAnsi"/>
        </w:rPr>
        <w:t xml:space="preserve"> secondary benchmark</w:t>
      </w:r>
      <w:r w:rsidR="00102B2A" w:rsidRPr="001E40CD">
        <w:rPr>
          <w:rFonts w:asciiTheme="minorHAnsi" w:hAnsiTheme="minorHAnsi" w:cstheme="minorHAnsi"/>
        </w:rPr>
        <w:t>.</w:t>
      </w:r>
      <w:r w:rsidR="003B509E">
        <w:rPr>
          <w:rFonts w:asciiTheme="minorHAnsi" w:hAnsiTheme="minorHAnsi" w:cstheme="minorHAnsi"/>
        </w:rPr>
        <w:t xml:space="preserve"> </w:t>
      </w:r>
      <w:r w:rsidR="003B509E">
        <w:rPr>
          <w:rFonts w:asciiTheme="minorHAnsi" w:hAnsiTheme="minorHAnsi" w:cstheme="minorHAnsi"/>
          <w:color w:val="FF0000"/>
        </w:rPr>
        <w:t>website notice</w:t>
      </w:r>
      <w:r w:rsidR="00FA6A84">
        <w:rPr>
          <w:rFonts w:asciiTheme="minorHAnsi" w:hAnsiTheme="minorHAnsi" w:cstheme="minorHAnsi"/>
          <w:color w:val="FF0000"/>
        </w:rPr>
        <w:t xml:space="preserve">. </w:t>
      </w:r>
    </w:p>
    <w:p w14:paraId="5328D43B" w14:textId="1B1065BC" w:rsidR="00102B2A" w:rsidRPr="001E40CD" w:rsidRDefault="004B3202" w:rsidP="001E40CD">
      <w:pPr>
        <w:pStyle w:val="ListParagraph"/>
        <w:numPr>
          <w:ilvl w:val="0"/>
          <w:numId w:val="6"/>
        </w:numPr>
        <w:ind w:left="709"/>
        <w:rPr>
          <w:rFonts w:asciiTheme="minorHAnsi" w:hAnsiTheme="minorHAnsi" w:cstheme="minorHAnsi"/>
          <w:spacing w:val="0"/>
          <w:lang w:eastAsia="en-GB"/>
        </w:rPr>
      </w:pPr>
      <w:r>
        <w:rPr>
          <w:rFonts w:asciiTheme="minorHAnsi" w:hAnsiTheme="minorHAnsi" w:cstheme="minorHAnsi"/>
          <w:spacing w:val="0"/>
          <w:lang w:eastAsia="en-GB"/>
        </w:rPr>
        <w:t>German tax law r</w:t>
      </w:r>
      <w:r w:rsidR="00F81BFB" w:rsidRPr="001E40CD">
        <w:rPr>
          <w:rFonts w:asciiTheme="minorHAnsi" w:hAnsiTheme="minorHAnsi" w:cstheme="minorHAnsi"/>
          <w:spacing w:val="0"/>
          <w:lang w:eastAsia="en-GB"/>
        </w:rPr>
        <w:t>eclassification of the Templeton Global Value and Income Fund</w:t>
      </w:r>
      <w:r w:rsidR="005058E5">
        <w:rPr>
          <w:rFonts w:asciiTheme="minorHAnsi" w:hAnsiTheme="minorHAnsi" w:cstheme="minorHAnsi"/>
          <w:spacing w:val="0"/>
          <w:lang w:eastAsia="en-GB"/>
        </w:rPr>
        <w:t xml:space="preserve"> (</w:t>
      </w:r>
      <w:r w:rsidR="005058E5" w:rsidRPr="005058E5">
        <w:rPr>
          <w:rFonts w:asciiTheme="minorHAnsi" w:hAnsiTheme="minorHAnsi" w:cstheme="minorHAnsi"/>
          <w:color w:val="FF0000"/>
          <w:spacing w:val="0"/>
          <w:lang w:eastAsia="en-GB"/>
        </w:rPr>
        <w:t>effective 24 August 2026</w:t>
      </w:r>
      <w:r w:rsidR="005058E5">
        <w:rPr>
          <w:rFonts w:asciiTheme="minorHAnsi" w:hAnsiTheme="minorHAnsi" w:cstheme="minorHAnsi"/>
          <w:spacing w:val="0"/>
          <w:lang w:eastAsia="en-GB"/>
        </w:rPr>
        <w:t>)</w:t>
      </w:r>
      <w:r>
        <w:rPr>
          <w:rFonts w:asciiTheme="minorHAnsi" w:hAnsiTheme="minorHAnsi" w:cstheme="minorHAnsi"/>
          <w:spacing w:val="0"/>
          <w:lang w:eastAsia="en-GB"/>
        </w:rPr>
        <w:t xml:space="preserve">: </w:t>
      </w:r>
      <w:r w:rsidR="00B27C99">
        <w:rPr>
          <w:rFonts w:asciiTheme="minorHAnsi" w:hAnsiTheme="minorHAnsi" w:cstheme="minorHAnsi"/>
          <w:spacing w:val="0"/>
          <w:lang w:eastAsia="en-GB"/>
        </w:rPr>
        <w:t>c</w:t>
      </w:r>
      <w:r w:rsidR="00B27C99" w:rsidRPr="00B27C99">
        <w:rPr>
          <w:rFonts w:asciiTheme="minorHAnsi" w:hAnsiTheme="minorHAnsi" w:cstheme="minorHAnsi"/>
          <w:spacing w:val="0"/>
          <w:lang w:eastAsia="en-GB"/>
        </w:rPr>
        <w:t xml:space="preserve">ertain income producing securities that are used to achieve </w:t>
      </w:r>
      <w:r w:rsidR="00B27C99">
        <w:rPr>
          <w:rFonts w:asciiTheme="minorHAnsi" w:hAnsiTheme="minorHAnsi" w:cstheme="minorHAnsi"/>
          <w:spacing w:val="0"/>
          <w:lang w:eastAsia="en-GB"/>
        </w:rPr>
        <w:t>the fund’s</w:t>
      </w:r>
      <w:r w:rsidR="00B27C99" w:rsidRPr="00B27C99">
        <w:rPr>
          <w:rFonts w:asciiTheme="minorHAnsi" w:hAnsiTheme="minorHAnsi" w:cstheme="minorHAnsi"/>
          <w:spacing w:val="0"/>
          <w:lang w:eastAsia="en-GB"/>
        </w:rPr>
        <w:t xml:space="preserve"> objective, including for example, Equity Linked Notes (ELN), do not meet the strict definition of an “equity” security under the German Investment Tax Act. As a result, complying with the requirements for equity funds under the German Investment Tax Act  has been a challenge. The movement of the </w:t>
      </w:r>
      <w:r w:rsidR="00B27C99">
        <w:rPr>
          <w:rFonts w:asciiTheme="minorHAnsi" w:hAnsiTheme="minorHAnsi" w:cstheme="minorHAnsi"/>
          <w:spacing w:val="0"/>
          <w:lang w:eastAsia="en-GB"/>
        </w:rPr>
        <w:t>f</w:t>
      </w:r>
      <w:r w:rsidR="00B27C99" w:rsidRPr="00B27C99">
        <w:rPr>
          <w:rFonts w:asciiTheme="minorHAnsi" w:hAnsiTheme="minorHAnsi" w:cstheme="minorHAnsi"/>
          <w:spacing w:val="0"/>
          <w:lang w:eastAsia="en-GB"/>
        </w:rPr>
        <w:t>und from an “equity” fund to a “balanced” fund under German Investment Tax act lowers the minimum equity percentage (as defined by the German Investment Tax Act) of the Fund from more than 50% to at least 25%.</w:t>
      </w:r>
      <w:r w:rsidR="002625B9" w:rsidRPr="001E40CD">
        <w:rPr>
          <w:rFonts w:asciiTheme="minorHAnsi" w:hAnsiTheme="minorHAnsi" w:cstheme="minorHAnsi"/>
        </w:rPr>
        <w:t xml:space="preserve"> </w:t>
      </w:r>
      <w:r w:rsidR="00063918" w:rsidRPr="001E40CD">
        <w:rPr>
          <w:rFonts w:asciiTheme="minorHAnsi" w:hAnsiTheme="minorHAnsi" w:cstheme="minorHAnsi"/>
          <w:color w:val="FF0000"/>
        </w:rPr>
        <w:t>1-month</w:t>
      </w:r>
      <w:r w:rsidR="002625B9" w:rsidRPr="001E40CD">
        <w:rPr>
          <w:rFonts w:asciiTheme="minorHAnsi" w:hAnsiTheme="minorHAnsi" w:cstheme="minorHAnsi"/>
          <w:color w:val="FF0000"/>
        </w:rPr>
        <w:t xml:space="preserve"> prior notice required</w:t>
      </w:r>
    </w:p>
    <w:p w14:paraId="529FFF0D" w14:textId="14ABE67E" w:rsidR="00AD13BC" w:rsidRPr="001E40CD" w:rsidRDefault="00AD13BC" w:rsidP="001E40CD">
      <w:pPr>
        <w:pStyle w:val="ListParagraph"/>
        <w:numPr>
          <w:ilvl w:val="0"/>
          <w:numId w:val="6"/>
        </w:numPr>
        <w:ind w:left="709"/>
        <w:jc w:val="both"/>
        <w:rPr>
          <w:rFonts w:asciiTheme="minorHAnsi" w:hAnsiTheme="minorHAnsi" w:cstheme="minorHAnsi"/>
        </w:rPr>
      </w:pPr>
      <w:r w:rsidRPr="001E40CD">
        <w:rPr>
          <w:rFonts w:asciiTheme="minorHAnsi" w:hAnsiTheme="minorHAnsi" w:cstheme="minorHAnsi"/>
        </w:rPr>
        <w:t>New hedged share class methodology</w:t>
      </w:r>
      <w:r w:rsidR="00C741CA" w:rsidRPr="001E40CD">
        <w:rPr>
          <w:rFonts w:asciiTheme="minorHAnsi" w:hAnsiTheme="minorHAnsi" w:cstheme="minorHAnsi"/>
        </w:rPr>
        <w:t xml:space="preserve"> (H5)</w:t>
      </w:r>
      <w:r w:rsidRPr="001E40CD">
        <w:rPr>
          <w:rFonts w:asciiTheme="minorHAnsi" w:hAnsiTheme="minorHAnsi" w:cstheme="minorHAnsi"/>
        </w:rPr>
        <w:t>: a methodology containing the abbreviation H5 may be applied to those funds seeking to reduce the risk of currency movements between the currency of the Hedged share class and the hard currencies (</w:t>
      </w:r>
      <w:r w:rsidR="005E1F4F">
        <w:rPr>
          <w:rFonts w:asciiTheme="minorHAnsi" w:hAnsiTheme="minorHAnsi" w:cstheme="minorHAnsi"/>
        </w:rPr>
        <w:t xml:space="preserve">including but not limited to </w:t>
      </w:r>
      <w:r w:rsidRPr="001E40CD">
        <w:rPr>
          <w:rFonts w:asciiTheme="minorHAnsi" w:hAnsiTheme="minorHAnsi" w:cstheme="minorHAnsi"/>
        </w:rPr>
        <w:t xml:space="preserve">EUR, GBP, USD, JPY and CHF) of the securities and cash held by said fund, while leaving </w:t>
      </w:r>
      <w:r w:rsidR="00154F0E" w:rsidRPr="001E40CD">
        <w:rPr>
          <w:rFonts w:asciiTheme="minorHAnsi" w:hAnsiTheme="minorHAnsi" w:cstheme="minorHAnsi"/>
        </w:rPr>
        <w:t xml:space="preserve">other </w:t>
      </w:r>
      <w:r w:rsidRPr="001E40CD">
        <w:rPr>
          <w:rFonts w:asciiTheme="minorHAnsi" w:hAnsiTheme="minorHAnsi" w:cstheme="minorHAnsi"/>
        </w:rPr>
        <w:t>local currenc</w:t>
      </w:r>
      <w:r w:rsidR="00154F0E" w:rsidRPr="001E40CD">
        <w:rPr>
          <w:rFonts w:asciiTheme="minorHAnsi" w:hAnsiTheme="minorHAnsi" w:cstheme="minorHAnsi"/>
        </w:rPr>
        <w:t>ies</w:t>
      </w:r>
      <w:r w:rsidRPr="001E40CD">
        <w:rPr>
          <w:rFonts w:asciiTheme="minorHAnsi" w:hAnsiTheme="minorHAnsi" w:cstheme="minorHAnsi"/>
        </w:rPr>
        <w:t xml:space="preserve"> exposures unhedged. Where the currency of the hedged share class is a hard currency, the </w:t>
      </w:r>
      <w:r w:rsidR="005E1F4F">
        <w:rPr>
          <w:rFonts w:asciiTheme="minorHAnsi" w:hAnsiTheme="minorHAnsi" w:cstheme="minorHAnsi"/>
        </w:rPr>
        <w:t>net exposure</w:t>
      </w:r>
      <w:r w:rsidRPr="001E40CD">
        <w:rPr>
          <w:rFonts w:asciiTheme="minorHAnsi" w:hAnsiTheme="minorHAnsi" w:cstheme="minorHAnsi"/>
        </w:rPr>
        <w:t xml:space="preserve"> of the portfolio representing that hard currency will not be hedged. </w:t>
      </w:r>
    </w:p>
    <w:p w14:paraId="414F1227" w14:textId="6AF3266D" w:rsidR="00B55EFC" w:rsidRPr="00B55EFC" w:rsidRDefault="00B55EFC" w:rsidP="001E40CD">
      <w:pPr>
        <w:pStyle w:val="ListParagraph"/>
        <w:numPr>
          <w:ilvl w:val="0"/>
          <w:numId w:val="6"/>
        </w:numPr>
        <w:ind w:left="709"/>
        <w:rPr>
          <w:rFonts w:asciiTheme="minorHAnsi" w:hAnsiTheme="minorHAnsi" w:cstheme="minorHAnsi"/>
        </w:rPr>
      </w:pPr>
      <w:r>
        <w:rPr>
          <w:rFonts w:asciiTheme="minorHAnsi" w:hAnsiTheme="minorHAnsi" w:cstheme="minorHAnsi"/>
          <w:lang w:val="en-US"/>
        </w:rPr>
        <w:t>U</w:t>
      </w:r>
      <w:r w:rsidRPr="00B55EFC">
        <w:rPr>
          <w:rFonts w:asciiTheme="minorHAnsi" w:hAnsiTheme="minorHAnsi" w:cstheme="minorHAnsi"/>
          <w:lang w:val="en-US"/>
        </w:rPr>
        <w:t>pdate of the section “Benchmark Regulation” so as to reflect the latest developments from Regulation (EU) 2025/914 amending Regulation (EU) 2016/1011</w:t>
      </w:r>
      <w:r w:rsidR="00B80503">
        <w:rPr>
          <w:rFonts w:asciiTheme="minorHAnsi" w:hAnsiTheme="minorHAnsi" w:cstheme="minorHAnsi"/>
          <w:lang w:val="en-US"/>
        </w:rPr>
        <w:t>.</w:t>
      </w:r>
    </w:p>
    <w:p w14:paraId="10AE4344" w14:textId="41825DA3" w:rsidR="00F81BFB" w:rsidRPr="001E40CD" w:rsidRDefault="00F81BFB" w:rsidP="001E40CD">
      <w:pPr>
        <w:pStyle w:val="ListParagraph"/>
        <w:numPr>
          <w:ilvl w:val="0"/>
          <w:numId w:val="6"/>
        </w:numPr>
        <w:ind w:left="709"/>
        <w:rPr>
          <w:rFonts w:asciiTheme="minorHAnsi" w:hAnsiTheme="minorHAnsi" w:cstheme="minorHAnsi"/>
        </w:rPr>
      </w:pPr>
      <w:r w:rsidRPr="001E40CD">
        <w:rPr>
          <w:rFonts w:asciiTheme="minorHAnsi" w:hAnsiTheme="minorHAnsi" w:cstheme="minorHAnsi"/>
        </w:rPr>
        <w:t xml:space="preserve">Reduction of the Annual Management Charge (AMC) for S, P1 and P2 share classes in: </w:t>
      </w:r>
    </w:p>
    <w:p w14:paraId="085748E5" w14:textId="77777777" w:rsidR="00F81BFB" w:rsidRPr="001E40CD" w:rsidRDefault="00F81BFB" w:rsidP="00CE6B03">
      <w:pPr>
        <w:pStyle w:val="ListParagraph"/>
        <w:numPr>
          <w:ilvl w:val="0"/>
          <w:numId w:val="18"/>
        </w:numPr>
        <w:ind w:left="1134"/>
        <w:rPr>
          <w:rFonts w:asciiTheme="minorHAnsi" w:hAnsiTheme="minorHAnsi" w:cstheme="minorHAnsi"/>
        </w:rPr>
      </w:pPr>
      <w:r w:rsidRPr="001E40CD">
        <w:rPr>
          <w:rFonts w:asciiTheme="minorHAnsi" w:hAnsiTheme="minorHAnsi" w:cstheme="minorHAnsi"/>
        </w:rPr>
        <w:t>Templeton Sustainable Global Bond (Euro) Fund</w:t>
      </w:r>
    </w:p>
    <w:p w14:paraId="17942DB8" w14:textId="77777777" w:rsidR="00F81BFB" w:rsidRPr="001E40CD" w:rsidRDefault="00F81BFB" w:rsidP="00CE6B03">
      <w:pPr>
        <w:pStyle w:val="ListParagraph"/>
        <w:numPr>
          <w:ilvl w:val="0"/>
          <w:numId w:val="18"/>
        </w:numPr>
        <w:ind w:left="1134"/>
        <w:rPr>
          <w:rFonts w:asciiTheme="minorHAnsi" w:hAnsiTheme="minorHAnsi" w:cstheme="minorHAnsi"/>
        </w:rPr>
      </w:pPr>
      <w:r w:rsidRPr="001E40CD">
        <w:rPr>
          <w:rFonts w:asciiTheme="minorHAnsi" w:hAnsiTheme="minorHAnsi" w:cstheme="minorHAnsi"/>
        </w:rPr>
        <w:t>Franklin Euro High Yield Fund</w:t>
      </w:r>
    </w:p>
    <w:p w14:paraId="3786DE33" w14:textId="1DE6C3F1" w:rsidR="002A57DD" w:rsidRDefault="002A57DD" w:rsidP="001E40CD">
      <w:pPr>
        <w:pStyle w:val="ListParagraph"/>
        <w:numPr>
          <w:ilvl w:val="0"/>
          <w:numId w:val="6"/>
        </w:numPr>
        <w:ind w:left="709"/>
        <w:jc w:val="both"/>
        <w:rPr>
          <w:rFonts w:asciiTheme="minorHAnsi" w:hAnsiTheme="minorHAnsi" w:cstheme="minorHAnsi"/>
        </w:rPr>
      </w:pPr>
      <w:r w:rsidRPr="001E40CD">
        <w:rPr>
          <w:rFonts w:asciiTheme="minorHAnsi" w:hAnsiTheme="minorHAnsi" w:cstheme="minorHAnsi"/>
        </w:rPr>
        <w:t>Change to the transaction cut</w:t>
      </w:r>
      <w:r w:rsidRPr="001E40CD">
        <w:rPr>
          <w:rFonts w:asciiTheme="minorHAnsi" w:hAnsiTheme="minorHAnsi" w:cstheme="minorHAnsi"/>
        </w:rPr>
        <w:noBreakHyphen/>
        <w:t>off time for electronic dealing</w:t>
      </w:r>
      <w:r w:rsidR="00CE6B03">
        <w:rPr>
          <w:rFonts w:asciiTheme="minorHAnsi" w:hAnsiTheme="minorHAnsi" w:cstheme="minorHAnsi"/>
        </w:rPr>
        <w:t xml:space="preserve"> (Appendix A)</w:t>
      </w:r>
      <w:r w:rsidRPr="001E40CD">
        <w:rPr>
          <w:rFonts w:asciiTheme="minorHAnsi" w:hAnsiTheme="minorHAnsi" w:cstheme="minorHAnsi"/>
        </w:rPr>
        <w:t>, moving from CET to EST, to address daylight</w:t>
      </w:r>
      <w:r w:rsidRPr="001E40CD">
        <w:rPr>
          <w:rFonts w:asciiTheme="minorHAnsi" w:hAnsiTheme="minorHAnsi" w:cstheme="minorHAnsi"/>
        </w:rPr>
        <w:noBreakHyphen/>
        <w:t>saving time misalignment between Europe and the US valuation point</w:t>
      </w:r>
      <w:r w:rsidR="005058E5">
        <w:rPr>
          <w:rFonts w:asciiTheme="minorHAnsi" w:hAnsiTheme="minorHAnsi" w:cstheme="minorHAnsi"/>
        </w:rPr>
        <w:t xml:space="preserve"> (</w:t>
      </w:r>
      <w:r w:rsidR="005058E5" w:rsidRPr="005058E5">
        <w:rPr>
          <w:rFonts w:asciiTheme="minorHAnsi" w:hAnsiTheme="minorHAnsi" w:cstheme="minorHAnsi"/>
          <w:color w:val="FF0000"/>
        </w:rPr>
        <w:t>effective 19 October 2026</w:t>
      </w:r>
      <w:r w:rsidR="005058E5">
        <w:rPr>
          <w:rFonts w:asciiTheme="minorHAnsi" w:hAnsiTheme="minorHAnsi" w:cstheme="minorHAnsi"/>
        </w:rPr>
        <w:t>)</w:t>
      </w:r>
    </w:p>
    <w:p w14:paraId="62BE61E1" w14:textId="230DCF52" w:rsidR="00D972FA" w:rsidRDefault="00D972FA" w:rsidP="001E40CD">
      <w:pPr>
        <w:pStyle w:val="ListParagraph"/>
        <w:numPr>
          <w:ilvl w:val="0"/>
          <w:numId w:val="6"/>
        </w:numPr>
        <w:ind w:left="709"/>
        <w:jc w:val="both"/>
        <w:rPr>
          <w:rFonts w:asciiTheme="minorHAnsi" w:hAnsiTheme="minorHAnsi" w:cstheme="minorHAnsi"/>
        </w:rPr>
      </w:pPr>
      <w:r>
        <w:rPr>
          <w:rFonts w:asciiTheme="minorHAnsi" w:hAnsiTheme="minorHAnsi" w:cstheme="minorHAnsi"/>
          <w:lang w:val="en-US"/>
        </w:rPr>
        <w:t xml:space="preserve">Update of the </w:t>
      </w:r>
      <w:r w:rsidRPr="00D972FA">
        <w:rPr>
          <w:rFonts w:asciiTheme="minorHAnsi" w:hAnsiTheme="minorHAnsi" w:cstheme="minorHAnsi"/>
          <w:lang w:val="en-US"/>
        </w:rPr>
        <w:t>Appendix B. “Investments Restrictions” to reflect</w:t>
      </w:r>
      <w:r>
        <w:rPr>
          <w:rFonts w:asciiTheme="minorHAnsi" w:hAnsiTheme="minorHAnsi" w:cstheme="minorHAnsi"/>
          <w:lang w:val="en-US"/>
        </w:rPr>
        <w:t xml:space="preserve"> </w:t>
      </w:r>
      <w:r w:rsidRPr="00D972FA">
        <w:rPr>
          <w:rFonts w:asciiTheme="minorHAnsi" w:hAnsiTheme="minorHAnsi" w:cstheme="minorHAnsi"/>
          <w:lang w:val="en-US"/>
        </w:rPr>
        <w:t>certain limited amendments to Article 43(1) and (2) of the Law of 17 December 2010 on undertakings for collective investment</w:t>
      </w:r>
      <w:r>
        <w:rPr>
          <w:rFonts w:asciiTheme="minorHAnsi" w:hAnsiTheme="minorHAnsi" w:cstheme="minorHAnsi"/>
          <w:lang w:val="en-US"/>
        </w:rPr>
        <w:t xml:space="preserve"> </w:t>
      </w:r>
      <w:r w:rsidRPr="00D972FA">
        <w:rPr>
          <w:rFonts w:asciiTheme="minorHAnsi" w:hAnsiTheme="minorHAnsi" w:cstheme="minorHAnsi"/>
          <w:lang w:val="en-US"/>
        </w:rPr>
        <w:t>introduced by the Luxembourg law implementing EMIR 3.0.</w:t>
      </w:r>
    </w:p>
    <w:p w14:paraId="7D67436A" w14:textId="2C520CB6" w:rsidR="00A73724" w:rsidRDefault="00A73724" w:rsidP="001E40CD">
      <w:pPr>
        <w:pStyle w:val="ListParagraph"/>
        <w:numPr>
          <w:ilvl w:val="0"/>
          <w:numId w:val="6"/>
        </w:numPr>
        <w:ind w:left="709"/>
        <w:jc w:val="both"/>
        <w:rPr>
          <w:rFonts w:asciiTheme="minorHAnsi" w:hAnsiTheme="minorHAnsi" w:cstheme="minorHAnsi"/>
        </w:rPr>
      </w:pPr>
      <w:r>
        <w:rPr>
          <w:rFonts w:asciiTheme="minorHAnsi" w:hAnsiTheme="minorHAnsi" w:cstheme="minorHAnsi"/>
        </w:rPr>
        <w:t>Removal of the Franklin European Social Leaders Bond Fund as this fund was liquidated</w:t>
      </w:r>
      <w:r w:rsidR="00156E68">
        <w:rPr>
          <w:rFonts w:asciiTheme="minorHAnsi" w:hAnsiTheme="minorHAnsi" w:cstheme="minorHAnsi"/>
        </w:rPr>
        <w:t xml:space="preserve"> on 18 May 2026</w:t>
      </w:r>
      <w:r>
        <w:rPr>
          <w:rFonts w:asciiTheme="minorHAnsi" w:hAnsiTheme="minorHAnsi" w:cstheme="minorHAnsi"/>
        </w:rPr>
        <w:t xml:space="preserve">. </w:t>
      </w:r>
    </w:p>
    <w:p w14:paraId="2F7D4E04" w14:textId="74A8A97F" w:rsidR="00C7542D" w:rsidRPr="00C7542D" w:rsidRDefault="00C7542D" w:rsidP="00C7542D">
      <w:pPr>
        <w:pStyle w:val="ListParagraph"/>
        <w:numPr>
          <w:ilvl w:val="0"/>
          <w:numId w:val="6"/>
        </w:numPr>
        <w:ind w:left="709"/>
        <w:jc w:val="both"/>
        <w:rPr>
          <w:rFonts w:asciiTheme="minorHAnsi" w:hAnsiTheme="minorHAnsi" w:cstheme="minorHAnsi"/>
          <w:lang w:val="en-US"/>
        </w:rPr>
      </w:pPr>
      <w:r>
        <w:rPr>
          <w:rFonts w:asciiTheme="minorHAnsi" w:hAnsiTheme="minorHAnsi" w:cstheme="minorHAnsi"/>
          <w:lang w:val="en-US"/>
        </w:rPr>
        <w:t>Clarification of</w:t>
      </w:r>
      <w:r w:rsidRPr="00C7542D">
        <w:rPr>
          <w:rFonts w:asciiTheme="minorHAnsi" w:hAnsiTheme="minorHAnsi" w:cstheme="minorHAnsi"/>
          <w:lang w:val="en-US"/>
        </w:rPr>
        <w:t xml:space="preserve"> the investment policy of the below listed sub-funds to remove the language referring to lagging in support to the low carbon economy since the intention is to apply a more holistic assessment using a broader set of ESG / sustainability-related factors as aligned with the PCDs:</w:t>
      </w:r>
    </w:p>
    <w:p w14:paraId="7526B249" w14:textId="13D5999A" w:rsidR="00C7542D" w:rsidRPr="00C7542D" w:rsidRDefault="005058E5" w:rsidP="00C7542D">
      <w:pPr>
        <w:pStyle w:val="ListParagraph"/>
        <w:numPr>
          <w:ilvl w:val="0"/>
          <w:numId w:val="30"/>
        </w:numPr>
        <w:jc w:val="both"/>
        <w:rPr>
          <w:rFonts w:asciiTheme="minorHAnsi" w:hAnsiTheme="minorHAnsi" w:cstheme="minorHAnsi"/>
          <w:lang w:val="en-US"/>
        </w:rPr>
      </w:pPr>
      <w:r w:rsidRPr="00C7542D">
        <w:rPr>
          <w:rFonts w:asciiTheme="minorHAnsi" w:hAnsiTheme="minorHAnsi" w:cstheme="minorHAnsi"/>
          <w:lang w:val="en-US"/>
        </w:rPr>
        <w:t>Franklin Euro Government Bond Fund</w:t>
      </w:r>
    </w:p>
    <w:p w14:paraId="68929B9E" w14:textId="31E611B1" w:rsidR="00C7542D" w:rsidRPr="00C7542D" w:rsidRDefault="005058E5" w:rsidP="00C7542D">
      <w:pPr>
        <w:pStyle w:val="ListParagraph"/>
        <w:numPr>
          <w:ilvl w:val="0"/>
          <w:numId w:val="30"/>
        </w:numPr>
        <w:jc w:val="both"/>
        <w:rPr>
          <w:rFonts w:asciiTheme="minorHAnsi" w:hAnsiTheme="minorHAnsi" w:cstheme="minorHAnsi"/>
          <w:lang w:val="en-US"/>
        </w:rPr>
      </w:pPr>
      <w:r w:rsidRPr="00C7542D">
        <w:rPr>
          <w:rFonts w:asciiTheme="minorHAnsi" w:hAnsiTheme="minorHAnsi" w:cstheme="minorHAnsi"/>
          <w:lang w:val="en-US"/>
        </w:rPr>
        <w:t>Franklin Euro Short Duration Bond Fund</w:t>
      </w:r>
    </w:p>
    <w:p w14:paraId="5B68FB67" w14:textId="0799D236" w:rsidR="00C7542D" w:rsidRPr="00C7542D" w:rsidRDefault="005058E5" w:rsidP="00C7542D">
      <w:pPr>
        <w:pStyle w:val="ListParagraph"/>
        <w:numPr>
          <w:ilvl w:val="0"/>
          <w:numId w:val="30"/>
        </w:numPr>
        <w:jc w:val="both"/>
        <w:rPr>
          <w:rFonts w:asciiTheme="minorHAnsi" w:hAnsiTheme="minorHAnsi" w:cstheme="minorHAnsi"/>
          <w:lang w:val="en-US"/>
        </w:rPr>
      </w:pPr>
      <w:r w:rsidRPr="00C7542D">
        <w:rPr>
          <w:rFonts w:asciiTheme="minorHAnsi" w:hAnsiTheme="minorHAnsi" w:cstheme="minorHAnsi"/>
          <w:lang w:val="en-US"/>
        </w:rPr>
        <w:t>Franklin European Corporate Bond Fund</w:t>
      </w:r>
    </w:p>
    <w:p w14:paraId="658173AF" w14:textId="3DBB2973" w:rsidR="00C7542D" w:rsidRPr="00C7542D" w:rsidRDefault="005058E5" w:rsidP="00C7542D">
      <w:pPr>
        <w:pStyle w:val="ListParagraph"/>
        <w:numPr>
          <w:ilvl w:val="0"/>
          <w:numId w:val="30"/>
        </w:numPr>
        <w:jc w:val="both"/>
        <w:rPr>
          <w:rFonts w:asciiTheme="minorHAnsi" w:hAnsiTheme="minorHAnsi" w:cstheme="minorHAnsi"/>
          <w:lang w:val="en-US"/>
        </w:rPr>
      </w:pPr>
      <w:r w:rsidRPr="00C7542D">
        <w:rPr>
          <w:rFonts w:asciiTheme="minorHAnsi" w:hAnsiTheme="minorHAnsi" w:cstheme="minorHAnsi"/>
          <w:lang w:val="en-US"/>
        </w:rPr>
        <w:lastRenderedPageBreak/>
        <w:t>Franklin European Total Return Fund</w:t>
      </w:r>
    </w:p>
    <w:p w14:paraId="3AB487E3" w14:textId="77777777" w:rsidR="00C7542D" w:rsidRPr="001E40CD" w:rsidRDefault="00C7542D" w:rsidP="00C7542D">
      <w:pPr>
        <w:pStyle w:val="ListParagraph"/>
        <w:ind w:left="709"/>
        <w:jc w:val="both"/>
        <w:rPr>
          <w:rFonts w:asciiTheme="minorHAnsi" w:hAnsiTheme="minorHAnsi" w:cstheme="minorHAnsi"/>
        </w:rPr>
      </w:pPr>
    </w:p>
    <w:p w14:paraId="514FCDFC" w14:textId="77777777" w:rsidR="002A57DD" w:rsidRPr="001E40CD" w:rsidRDefault="002A57DD" w:rsidP="001E40CD">
      <w:pPr>
        <w:ind w:left="0"/>
        <w:jc w:val="both"/>
        <w:rPr>
          <w:rFonts w:asciiTheme="minorHAnsi" w:hAnsiTheme="minorHAnsi" w:cstheme="minorHAnsi"/>
        </w:rPr>
      </w:pPr>
    </w:p>
    <w:p w14:paraId="7EEB4457" w14:textId="4A315DEE" w:rsidR="002A57DD" w:rsidRPr="001E40CD" w:rsidRDefault="002A57DD" w:rsidP="00FA6520">
      <w:pPr>
        <w:pStyle w:val="ListParagraph"/>
        <w:numPr>
          <w:ilvl w:val="0"/>
          <w:numId w:val="5"/>
        </w:numPr>
        <w:ind w:left="567"/>
        <w:jc w:val="both"/>
        <w:rPr>
          <w:rFonts w:asciiTheme="minorHAnsi" w:hAnsiTheme="minorHAnsi" w:cstheme="minorHAnsi"/>
          <w:b/>
          <w:bCs/>
        </w:rPr>
      </w:pPr>
      <w:r w:rsidRPr="001E40CD">
        <w:rPr>
          <w:rFonts w:asciiTheme="minorHAnsi" w:hAnsiTheme="minorHAnsi" w:cstheme="minorHAnsi"/>
          <w:b/>
          <w:bCs/>
        </w:rPr>
        <w:t>SFDR updates</w:t>
      </w:r>
    </w:p>
    <w:p w14:paraId="14EB2F26" w14:textId="7C50FAFE" w:rsidR="00102B2A" w:rsidRDefault="00102B2A" w:rsidP="004A4A37">
      <w:pPr>
        <w:ind w:left="0"/>
        <w:jc w:val="both"/>
        <w:rPr>
          <w:rFonts w:cs="Arial"/>
          <w:color w:val="FF0000"/>
        </w:rPr>
      </w:pPr>
    </w:p>
    <w:p w14:paraId="08140E9B" w14:textId="77777777" w:rsidR="00CC19EC" w:rsidRDefault="00CC19EC" w:rsidP="00CC19EC">
      <w:pPr>
        <w:ind w:left="0"/>
        <w:rPr>
          <w:rFonts w:asciiTheme="minorHAnsi" w:hAnsiTheme="minorHAnsi" w:cstheme="minorHAnsi"/>
          <w:lang w:val="de-DE"/>
        </w:rPr>
      </w:pPr>
    </w:p>
    <w:tbl>
      <w:tblPr>
        <w:tblStyle w:val="TableGrid"/>
        <w:tblW w:w="10485" w:type="dxa"/>
        <w:tblLook w:val="04A0" w:firstRow="1" w:lastRow="0" w:firstColumn="1" w:lastColumn="0" w:noHBand="0" w:noVBand="1"/>
      </w:tblPr>
      <w:tblGrid>
        <w:gridCol w:w="4673"/>
        <w:gridCol w:w="5812"/>
      </w:tblGrid>
      <w:tr w:rsidR="00CC19EC" w:rsidRPr="00A61FB5" w14:paraId="6BF44811" w14:textId="77777777" w:rsidTr="00CC19EC">
        <w:trPr>
          <w:trHeight w:val="338"/>
        </w:trPr>
        <w:tc>
          <w:tcPr>
            <w:tcW w:w="10485" w:type="dxa"/>
            <w:gridSpan w:val="2"/>
            <w:shd w:val="clear" w:color="auto" w:fill="97BCFF" w:themeFill="accent4" w:themeFillTint="99"/>
            <w:vAlign w:val="center"/>
          </w:tcPr>
          <w:p w14:paraId="0480F2DB" w14:textId="77777777" w:rsidR="00CC19EC"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Funds: </w:t>
            </w:r>
          </w:p>
          <w:p w14:paraId="61F164EB" w14:textId="77777777" w:rsidR="00CC19EC" w:rsidRPr="007D215E" w:rsidRDefault="00CC19EC" w:rsidP="001D7292">
            <w:pPr>
              <w:pStyle w:val="06TertiaryHead"/>
              <w:spacing w:before="0"/>
              <w:jc w:val="both"/>
              <w:rPr>
                <w:rFonts w:asciiTheme="minorHAnsi" w:hAnsiTheme="minorHAnsi" w:cstheme="minorHAnsi"/>
              </w:rPr>
            </w:pPr>
            <w:r w:rsidRPr="007D215E">
              <w:rPr>
                <w:rFonts w:asciiTheme="minorHAnsi" w:hAnsiTheme="minorHAnsi" w:cstheme="minorHAnsi"/>
              </w:rPr>
              <w:t>FTIF Templeton Emerging Markets Fund</w:t>
            </w:r>
          </w:p>
          <w:p w14:paraId="04B96F68" w14:textId="77777777" w:rsidR="00CC19EC" w:rsidRPr="007D215E" w:rsidRDefault="00CC19EC" w:rsidP="001D7292">
            <w:pPr>
              <w:pStyle w:val="06TertiaryHead"/>
              <w:spacing w:before="0"/>
              <w:jc w:val="both"/>
              <w:rPr>
                <w:rFonts w:asciiTheme="minorHAnsi" w:hAnsiTheme="minorHAnsi" w:cstheme="minorHAnsi"/>
              </w:rPr>
            </w:pPr>
            <w:r w:rsidRPr="007D215E">
              <w:rPr>
                <w:rFonts w:asciiTheme="minorHAnsi" w:hAnsiTheme="minorHAnsi" w:cstheme="minorHAnsi"/>
              </w:rPr>
              <w:t>FTIF Templeton Emerging Markets ex-China Fund</w:t>
            </w:r>
          </w:p>
          <w:p w14:paraId="58F388B3" w14:textId="77777777" w:rsidR="00CC19EC" w:rsidRPr="007D215E" w:rsidRDefault="00CC19EC" w:rsidP="001D7292">
            <w:pPr>
              <w:pStyle w:val="06TertiaryHead"/>
              <w:spacing w:before="0"/>
              <w:jc w:val="both"/>
              <w:rPr>
                <w:rFonts w:asciiTheme="minorHAnsi" w:hAnsiTheme="minorHAnsi" w:cstheme="minorHAnsi"/>
              </w:rPr>
            </w:pPr>
            <w:r w:rsidRPr="007D215E">
              <w:rPr>
                <w:rFonts w:asciiTheme="minorHAnsi" w:hAnsiTheme="minorHAnsi" w:cstheme="minorHAnsi"/>
              </w:rPr>
              <w:t>FTIF Templeton Asian Growth Fund</w:t>
            </w:r>
          </w:p>
          <w:p w14:paraId="11D02368" w14:textId="77777777" w:rsidR="00CC19EC" w:rsidRPr="007D215E" w:rsidRDefault="00CC19EC" w:rsidP="001D7292">
            <w:pPr>
              <w:pStyle w:val="06TertiaryHead"/>
              <w:spacing w:before="0"/>
              <w:jc w:val="both"/>
              <w:rPr>
                <w:rFonts w:asciiTheme="minorHAnsi" w:hAnsiTheme="minorHAnsi" w:cstheme="minorHAnsi"/>
              </w:rPr>
            </w:pPr>
            <w:r w:rsidRPr="007D215E">
              <w:rPr>
                <w:rFonts w:asciiTheme="minorHAnsi" w:hAnsiTheme="minorHAnsi" w:cstheme="minorHAnsi"/>
              </w:rPr>
              <w:t>FTIF Templeton China Fund</w:t>
            </w:r>
          </w:p>
          <w:p w14:paraId="78EB013A" w14:textId="77777777" w:rsidR="00CC19EC" w:rsidRPr="007D215E" w:rsidRDefault="00CC19EC" w:rsidP="001D7292">
            <w:pPr>
              <w:pStyle w:val="06TertiaryHead"/>
              <w:spacing w:before="0"/>
              <w:jc w:val="both"/>
              <w:rPr>
                <w:rFonts w:asciiTheme="minorHAnsi" w:hAnsiTheme="minorHAnsi" w:cstheme="minorHAnsi"/>
              </w:rPr>
            </w:pPr>
            <w:r w:rsidRPr="007D215E">
              <w:rPr>
                <w:rFonts w:asciiTheme="minorHAnsi" w:hAnsiTheme="minorHAnsi" w:cstheme="minorHAnsi"/>
              </w:rPr>
              <w:t>FTIF Templeton All China Equity Fund</w:t>
            </w:r>
          </w:p>
          <w:p w14:paraId="6A9B13F7" w14:textId="77777777" w:rsidR="00CC19EC" w:rsidRPr="007D215E" w:rsidRDefault="00CC19EC" w:rsidP="001D7292">
            <w:pPr>
              <w:pStyle w:val="06TertiaryHead"/>
              <w:spacing w:before="0"/>
              <w:jc w:val="both"/>
              <w:rPr>
                <w:rFonts w:asciiTheme="minorHAnsi" w:hAnsiTheme="minorHAnsi" w:cstheme="minorHAnsi"/>
              </w:rPr>
            </w:pPr>
            <w:r w:rsidRPr="007D215E">
              <w:rPr>
                <w:rFonts w:asciiTheme="minorHAnsi" w:hAnsiTheme="minorHAnsi" w:cstheme="minorHAnsi"/>
              </w:rPr>
              <w:t>FTIF Templeton China A-Shares Fund</w:t>
            </w:r>
          </w:p>
          <w:p w14:paraId="5A59DB59" w14:textId="77777777" w:rsidR="00CC19EC" w:rsidRPr="007D215E" w:rsidRDefault="00CC19EC" w:rsidP="001D7292">
            <w:pPr>
              <w:pStyle w:val="06TertiaryHead"/>
              <w:spacing w:before="0"/>
              <w:jc w:val="both"/>
              <w:rPr>
                <w:rFonts w:asciiTheme="minorHAnsi" w:hAnsiTheme="minorHAnsi" w:cstheme="minorHAnsi"/>
              </w:rPr>
            </w:pPr>
            <w:r w:rsidRPr="007D215E">
              <w:rPr>
                <w:rFonts w:asciiTheme="minorHAnsi" w:hAnsiTheme="minorHAnsi" w:cstheme="minorHAnsi"/>
              </w:rPr>
              <w:t>FTIF Franklin India Fund</w:t>
            </w:r>
          </w:p>
          <w:p w14:paraId="4440BF65" w14:textId="77777777" w:rsidR="00CC19EC" w:rsidRPr="007D215E" w:rsidRDefault="00CC19EC" w:rsidP="001D7292">
            <w:pPr>
              <w:pStyle w:val="06TertiaryHead"/>
              <w:spacing w:before="0"/>
              <w:jc w:val="both"/>
              <w:rPr>
                <w:rFonts w:asciiTheme="minorHAnsi" w:hAnsiTheme="minorHAnsi" w:cstheme="minorHAnsi"/>
              </w:rPr>
            </w:pPr>
            <w:r w:rsidRPr="007D215E">
              <w:rPr>
                <w:rFonts w:asciiTheme="minorHAnsi" w:hAnsiTheme="minorHAnsi" w:cstheme="minorHAnsi"/>
              </w:rPr>
              <w:t>FTIF Templeton Emerging Markets Smaller Companies Fund​</w:t>
            </w:r>
          </w:p>
          <w:p w14:paraId="02FB6C46" w14:textId="77777777" w:rsidR="00CC19EC" w:rsidRPr="007D215E" w:rsidRDefault="00CC19EC" w:rsidP="001D7292">
            <w:pPr>
              <w:pStyle w:val="06TertiaryHead"/>
              <w:spacing w:before="0"/>
              <w:jc w:val="both"/>
              <w:rPr>
                <w:rFonts w:asciiTheme="minorHAnsi" w:hAnsiTheme="minorHAnsi" w:cstheme="minorHAnsi"/>
              </w:rPr>
            </w:pPr>
            <w:r w:rsidRPr="007D215E">
              <w:rPr>
                <w:rFonts w:asciiTheme="minorHAnsi" w:hAnsiTheme="minorHAnsi" w:cstheme="minorHAnsi"/>
              </w:rPr>
              <w:t>FTIF Templeton Asian Smaller Companies Fund</w:t>
            </w:r>
          </w:p>
          <w:p w14:paraId="02756019" w14:textId="77777777" w:rsidR="00CC19EC" w:rsidRPr="00883697" w:rsidRDefault="00CC19EC" w:rsidP="001D7292">
            <w:pPr>
              <w:pStyle w:val="06TertiaryHead"/>
              <w:spacing w:before="0"/>
              <w:jc w:val="both"/>
              <w:rPr>
                <w:rFonts w:asciiTheme="minorHAnsi" w:hAnsiTheme="minorHAnsi" w:cstheme="minorHAnsi"/>
              </w:rPr>
            </w:pPr>
            <w:r w:rsidRPr="007D215E">
              <w:rPr>
                <w:rFonts w:asciiTheme="minorHAnsi" w:hAnsiTheme="minorHAnsi" w:cstheme="minorHAnsi"/>
              </w:rPr>
              <w:t>FTIF Templeton Emerging Markets Sustainability Fund</w:t>
            </w:r>
          </w:p>
        </w:tc>
      </w:tr>
      <w:tr w:rsidR="00CC19EC" w:rsidRPr="00A61FB5" w14:paraId="123E53D4" w14:textId="77777777" w:rsidTr="00CC19EC">
        <w:trPr>
          <w:trHeight w:val="338"/>
        </w:trPr>
        <w:tc>
          <w:tcPr>
            <w:tcW w:w="10485" w:type="dxa"/>
            <w:gridSpan w:val="2"/>
            <w:shd w:val="clear" w:color="auto" w:fill="DCE8FF" w:themeFill="accent4" w:themeFillTint="33"/>
            <w:vAlign w:val="center"/>
          </w:tcPr>
          <w:p w14:paraId="157DB2BA" w14:textId="77777777" w:rsidR="00CC19EC"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Summary of Changes: </w:t>
            </w:r>
            <w:r w:rsidRPr="008153AD">
              <w:rPr>
                <w:rFonts w:asciiTheme="minorHAnsi" w:hAnsiTheme="minorHAnsi" w:cstheme="minorHAnsi"/>
                <w:b w:val="0"/>
                <w:bCs w:val="0"/>
              </w:rPr>
              <w:t>Updates to the SFDR annexes/Pre-Contractual Disclosures (PCDs) of the above TGI funds</w:t>
            </w:r>
            <w:r>
              <w:rPr>
                <w:rFonts w:asciiTheme="minorHAnsi" w:hAnsiTheme="minorHAnsi" w:cstheme="minorHAnsi"/>
              </w:rPr>
              <w:t xml:space="preserve"> </w:t>
            </w:r>
          </w:p>
        </w:tc>
      </w:tr>
      <w:tr w:rsidR="00CC19EC" w:rsidRPr="00A61FB5" w14:paraId="1C990A8E" w14:textId="77777777" w:rsidTr="00CC19EC">
        <w:trPr>
          <w:trHeight w:val="346"/>
        </w:trPr>
        <w:tc>
          <w:tcPr>
            <w:tcW w:w="4673" w:type="dxa"/>
            <w:shd w:val="clear" w:color="auto" w:fill="E5E5E5" w:themeFill="accent5" w:themeFillTint="66"/>
            <w:vAlign w:val="center"/>
          </w:tcPr>
          <w:p w14:paraId="7C229FB6" w14:textId="77777777" w:rsidR="00CC19EC" w:rsidRPr="00A61FB5" w:rsidRDefault="00CC19EC" w:rsidP="001D7292">
            <w:pPr>
              <w:pStyle w:val="06TertiaryHead"/>
              <w:jc w:val="center"/>
              <w:rPr>
                <w:rFonts w:asciiTheme="minorHAnsi" w:hAnsiTheme="minorHAnsi" w:cstheme="minorHAnsi"/>
              </w:rPr>
            </w:pPr>
            <w:r w:rsidRPr="00A61FB5">
              <w:rPr>
                <w:rFonts w:asciiTheme="minorHAnsi" w:hAnsiTheme="minorHAnsi" w:cstheme="minorHAnsi"/>
              </w:rPr>
              <w:t>Propos</w:t>
            </w:r>
            <w:r>
              <w:rPr>
                <w:rFonts w:asciiTheme="minorHAnsi" w:hAnsiTheme="minorHAnsi" w:cstheme="minorHAnsi"/>
              </w:rPr>
              <w:t>ed Changes</w:t>
            </w:r>
          </w:p>
        </w:tc>
        <w:tc>
          <w:tcPr>
            <w:tcW w:w="5812" w:type="dxa"/>
            <w:shd w:val="clear" w:color="auto" w:fill="E5E5E5" w:themeFill="accent5" w:themeFillTint="66"/>
            <w:vAlign w:val="center"/>
          </w:tcPr>
          <w:p w14:paraId="5756160E" w14:textId="77777777" w:rsidR="00CC19EC" w:rsidRPr="00A61FB5" w:rsidRDefault="00CC19EC" w:rsidP="001D7292">
            <w:pPr>
              <w:pStyle w:val="06TertiaryHead"/>
              <w:jc w:val="center"/>
              <w:rPr>
                <w:rFonts w:asciiTheme="minorHAnsi" w:hAnsiTheme="minorHAnsi" w:cstheme="minorHAnsi"/>
              </w:rPr>
            </w:pPr>
            <w:r w:rsidRPr="00A61FB5">
              <w:rPr>
                <w:rFonts w:asciiTheme="minorHAnsi" w:hAnsiTheme="minorHAnsi" w:cstheme="minorHAnsi"/>
              </w:rPr>
              <w:t>Rationale</w:t>
            </w:r>
          </w:p>
        </w:tc>
      </w:tr>
      <w:tr w:rsidR="00CC19EC" w:rsidRPr="00A61FB5" w14:paraId="330BB25C" w14:textId="77777777" w:rsidTr="00CC19EC">
        <w:trPr>
          <w:trHeight w:val="620"/>
        </w:trPr>
        <w:tc>
          <w:tcPr>
            <w:tcW w:w="4673" w:type="dxa"/>
          </w:tcPr>
          <w:p w14:paraId="3636998A" w14:textId="77777777" w:rsidR="00CC19EC" w:rsidRPr="007A6283" w:rsidRDefault="00CC19EC" w:rsidP="001D7292">
            <w:pPr>
              <w:pStyle w:val="06TertiaryHead"/>
              <w:jc w:val="both"/>
              <w:rPr>
                <w:rFonts w:asciiTheme="minorHAnsi" w:hAnsiTheme="minorHAnsi" w:cstheme="minorHAnsi"/>
                <w:b w:val="0"/>
                <w:bCs w:val="0"/>
              </w:rPr>
            </w:pPr>
            <w:r w:rsidRPr="007A6283">
              <w:rPr>
                <w:rFonts w:asciiTheme="minorHAnsi" w:hAnsiTheme="minorHAnsi" w:cstheme="minorHAnsi"/>
                <w:b w:val="0"/>
                <w:bCs w:val="0"/>
              </w:rPr>
              <w:t>Updates to the SFDR annexes of the above listed funds to reflect the below changes.</w:t>
            </w:r>
          </w:p>
          <w:p w14:paraId="67AD2690" w14:textId="77777777" w:rsidR="00CC19EC" w:rsidRPr="007A6283" w:rsidRDefault="00CC19EC" w:rsidP="00CC19EC">
            <w:pPr>
              <w:pStyle w:val="06TertiaryHead"/>
              <w:numPr>
                <w:ilvl w:val="0"/>
                <w:numId w:val="19"/>
              </w:numPr>
              <w:jc w:val="both"/>
              <w:rPr>
                <w:rFonts w:asciiTheme="minorHAnsi" w:hAnsiTheme="minorHAnsi" w:cstheme="minorHAnsi"/>
                <w:b w:val="0"/>
                <w:bCs w:val="0"/>
              </w:rPr>
            </w:pPr>
            <w:r w:rsidRPr="007A6283">
              <w:rPr>
                <w:rFonts w:asciiTheme="minorHAnsi" w:hAnsiTheme="minorHAnsi" w:cstheme="minorHAnsi"/>
                <w:b w:val="0"/>
                <w:bCs w:val="0"/>
              </w:rPr>
              <w:t>Language to reflect new TGI ratings systems. Moving from numbers to letters.​</w:t>
            </w:r>
          </w:p>
          <w:p w14:paraId="78AD3D92" w14:textId="77777777" w:rsidR="00CC19EC" w:rsidRPr="00523438" w:rsidRDefault="00CC19EC" w:rsidP="00CC19EC">
            <w:pPr>
              <w:pStyle w:val="06TertiaryHead"/>
              <w:numPr>
                <w:ilvl w:val="0"/>
                <w:numId w:val="19"/>
              </w:numPr>
              <w:jc w:val="both"/>
              <w:rPr>
                <w:rFonts w:asciiTheme="minorHAnsi" w:hAnsiTheme="minorHAnsi" w:cstheme="minorHAnsi"/>
                <w:b w:val="0"/>
                <w:bCs w:val="0"/>
                <w:i/>
                <w:iCs/>
                <w:sz w:val="18"/>
                <w:szCs w:val="18"/>
              </w:rPr>
            </w:pPr>
            <w:r w:rsidRPr="007A6283">
              <w:rPr>
                <w:rFonts w:asciiTheme="minorHAnsi" w:hAnsiTheme="minorHAnsi" w:cstheme="minorHAnsi"/>
                <w:b w:val="0"/>
                <w:bCs w:val="0"/>
              </w:rPr>
              <w:t>Clarification of language on PAI engagement objective.</w:t>
            </w:r>
          </w:p>
        </w:tc>
        <w:tc>
          <w:tcPr>
            <w:tcW w:w="5812" w:type="dxa"/>
          </w:tcPr>
          <w:p w14:paraId="29201362" w14:textId="77777777" w:rsidR="00CC19EC" w:rsidRDefault="00CC19EC" w:rsidP="00CC19EC">
            <w:pPr>
              <w:pStyle w:val="06TertiaryHead"/>
              <w:numPr>
                <w:ilvl w:val="0"/>
                <w:numId w:val="20"/>
              </w:numPr>
              <w:jc w:val="both"/>
              <w:rPr>
                <w:rFonts w:asciiTheme="minorHAnsi" w:hAnsiTheme="minorHAnsi" w:cstheme="minorHAnsi"/>
                <w:b w:val="0"/>
                <w:bCs w:val="0"/>
              </w:rPr>
            </w:pPr>
            <w:r w:rsidRPr="006C6A13">
              <w:rPr>
                <w:rFonts w:asciiTheme="minorHAnsi" w:hAnsiTheme="minorHAnsi" w:cstheme="minorHAnsi"/>
                <w:b w:val="0"/>
                <w:bCs w:val="0"/>
              </w:rPr>
              <w:t>TGI research consolidation into single rating system​</w:t>
            </w:r>
            <w:r>
              <w:rPr>
                <w:rFonts w:asciiTheme="minorHAnsi" w:hAnsiTheme="minorHAnsi" w:cstheme="minorHAnsi"/>
                <w:b w:val="0"/>
                <w:bCs w:val="0"/>
              </w:rPr>
              <w:t>:</w:t>
            </w:r>
          </w:p>
          <w:p w14:paraId="4E946E7E" w14:textId="77777777" w:rsidR="00CC19EC" w:rsidRPr="00B0767A" w:rsidRDefault="00CC19EC" w:rsidP="00CC19EC">
            <w:pPr>
              <w:pStyle w:val="06TertiaryHead"/>
              <w:numPr>
                <w:ilvl w:val="1"/>
                <w:numId w:val="20"/>
              </w:numPr>
              <w:jc w:val="both"/>
              <w:rPr>
                <w:rFonts w:asciiTheme="minorHAnsi" w:hAnsiTheme="minorHAnsi" w:cstheme="minorHAnsi"/>
                <w:b w:val="0"/>
                <w:bCs w:val="0"/>
              </w:rPr>
            </w:pPr>
            <w:r w:rsidRPr="00B0767A">
              <w:rPr>
                <w:rFonts w:asciiTheme="minorHAnsi" w:hAnsiTheme="minorHAnsi" w:cstheme="minorBidi"/>
                <w:b w:val="0"/>
              </w:rPr>
              <w:t>Templeton Global Investments (TGI) has consolidated its global equity research capabilities, bringing together the legacy FTEME and TGEG investment teams.</w:t>
            </w:r>
          </w:p>
          <w:p w14:paraId="2F5FB416" w14:textId="77777777" w:rsidR="00CC19EC" w:rsidRDefault="00CC19EC" w:rsidP="00CC19EC">
            <w:pPr>
              <w:pStyle w:val="06TertiaryHead"/>
              <w:numPr>
                <w:ilvl w:val="1"/>
                <w:numId w:val="20"/>
              </w:numPr>
              <w:jc w:val="both"/>
              <w:rPr>
                <w:rFonts w:asciiTheme="minorHAnsi" w:hAnsiTheme="minorHAnsi" w:cstheme="minorHAnsi"/>
                <w:b w:val="0"/>
                <w:bCs w:val="0"/>
              </w:rPr>
            </w:pPr>
            <w:r w:rsidRPr="00B0767A">
              <w:rPr>
                <w:rFonts w:asciiTheme="minorHAnsi" w:hAnsiTheme="minorHAnsi" w:cstheme="minorHAnsi"/>
                <w:b w:val="0"/>
                <w:bCs w:val="0"/>
              </w:rPr>
              <w:t>As part of this alignment, a unified ESG rating framework has been introduced to ensure consistency of analysis, comparability of ratings, and a harmonised approach across TGI.</w:t>
            </w:r>
          </w:p>
          <w:p w14:paraId="7A4E9088" w14:textId="6CB2B903" w:rsidR="00CC19EC" w:rsidRPr="00CC19EC" w:rsidRDefault="00CC19EC" w:rsidP="00CC19EC">
            <w:pPr>
              <w:pStyle w:val="06TertiaryHead"/>
              <w:numPr>
                <w:ilvl w:val="1"/>
                <w:numId w:val="20"/>
              </w:numPr>
              <w:jc w:val="both"/>
              <w:rPr>
                <w:rFonts w:asciiTheme="minorHAnsi" w:hAnsiTheme="minorHAnsi" w:cstheme="minorHAnsi"/>
                <w:b w:val="0"/>
                <w:bCs w:val="0"/>
              </w:rPr>
            </w:pPr>
            <w:r w:rsidRPr="00B0767A">
              <w:rPr>
                <w:rFonts w:asciiTheme="minorHAnsi" w:hAnsiTheme="minorHAnsi" w:cstheme="minorBidi"/>
                <w:b w:val="0"/>
              </w:rPr>
              <w:t>Across the TGI Article 8, investee companies are assessed using the Investment Manager’s proprietary ESG methodology and assigned ratings of A (Excellent), B (Good), C (Adequate) or D (Poor). The Article 9 funds have also been adjusted where applicable.</w:t>
            </w:r>
          </w:p>
        </w:tc>
      </w:tr>
    </w:tbl>
    <w:p w14:paraId="59666496" w14:textId="77777777" w:rsidR="00CC19EC" w:rsidRDefault="00CC19EC" w:rsidP="00CC19EC">
      <w:pPr>
        <w:ind w:left="0"/>
        <w:rPr>
          <w:rFonts w:asciiTheme="minorHAnsi" w:hAnsiTheme="minorHAnsi" w:cstheme="minorHAnsi"/>
        </w:rPr>
      </w:pPr>
    </w:p>
    <w:tbl>
      <w:tblPr>
        <w:tblStyle w:val="TableGrid"/>
        <w:tblW w:w="10485" w:type="dxa"/>
        <w:tblLook w:val="04A0" w:firstRow="1" w:lastRow="0" w:firstColumn="1" w:lastColumn="0" w:noHBand="0" w:noVBand="1"/>
      </w:tblPr>
      <w:tblGrid>
        <w:gridCol w:w="4673"/>
        <w:gridCol w:w="5812"/>
      </w:tblGrid>
      <w:tr w:rsidR="00CC19EC" w:rsidRPr="00A61FB5" w14:paraId="5625B5DA" w14:textId="77777777" w:rsidTr="00CC19EC">
        <w:trPr>
          <w:trHeight w:val="338"/>
        </w:trPr>
        <w:tc>
          <w:tcPr>
            <w:tcW w:w="10485" w:type="dxa"/>
            <w:gridSpan w:val="2"/>
            <w:shd w:val="clear" w:color="auto" w:fill="97BCFF" w:themeFill="accent4" w:themeFillTint="99"/>
            <w:vAlign w:val="center"/>
          </w:tcPr>
          <w:p w14:paraId="482DBE6F" w14:textId="77777777" w:rsidR="00CC19EC"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Funds: </w:t>
            </w:r>
          </w:p>
          <w:p w14:paraId="1DEF9067" w14:textId="77777777" w:rsidR="00CC19EC" w:rsidRPr="00B14FAA" w:rsidRDefault="00CC19EC" w:rsidP="001D7292">
            <w:pPr>
              <w:pStyle w:val="06TertiaryHead"/>
              <w:spacing w:before="0"/>
              <w:jc w:val="both"/>
              <w:rPr>
                <w:rFonts w:asciiTheme="minorHAnsi" w:hAnsiTheme="minorHAnsi" w:cstheme="minorHAnsi"/>
              </w:rPr>
            </w:pPr>
            <w:r w:rsidRPr="00B14FAA">
              <w:rPr>
                <w:rFonts w:asciiTheme="minorHAnsi" w:hAnsiTheme="minorHAnsi" w:cstheme="minorHAnsi"/>
              </w:rPr>
              <w:t>FTIF Templeton Global Climate Change Fund</w:t>
            </w:r>
          </w:p>
          <w:p w14:paraId="0A837E5C" w14:textId="77777777" w:rsidR="00CC19EC" w:rsidRPr="00B14FAA" w:rsidRDefault="00CC19EC" w:rsidP="001D7292">
            <w:pPr>
              <w:pStyle w:val="06TertiaryHead"/>
              <w:spacing w:before="0"/>
              <w:jc w:val="both"/>
              <w:rPr>
                <w:rFonts w:asciiTheme="minorHAnsi" w:hAnsiTheme="minorHAnsi" w:cstheme="minorHAnsi"/>
              </w:rPr>
            </w:pPr>
            <w:r w:rsidRPr="00B14FAA">
              <w:rPr>
                <w:rFonts w:asciiTheme="minorHAnsi" w:hAnsiTheme="minorHAnsi" w:cstheme="minorHAnsi"/>
              </w:rPr>
              <w:t>FTIF Templeton Global Leaders Fund​</w:t>
            </w:r>
          </w:p>
          <w:p w14:paraId="71935913" w14:textId="77777777" w:rsidR="00CC19EC" w:rsidRPr="00B14FAA" w:rsidRDefault="00CC19EC" w:rsidP="001D7292">
            <w:pPr>
              <w:pStyle w:val="06TertiaryHead"/>
              <w:spacing w:before="0"/>
              <w:jc w:val="both"/>
              <w:rPr>
                <w:rFonts w:asciiTheme="minorHAnsi" w:hAnsiTheme="minorHAnsi" w:cstheme="minorHAnsi"/>
              </w:rPr>
            </w:pPr>
            <w:r w:rsidRPr="00B14FAA">
              <w:rPr>
                <w:rFonts w:asciiTheme="minorHAnsi" w:hAnsiTheme="minorHAnsi" w:cstheme="minorHAnsi"/>
              </w:rPr>
              <w:t>FTIF Templeton Growth (Euro) Fund​</w:t>
            </w:r>
          </w:p>
          <w:p w14:paraId="3CCD1CF2" w14:textId="77777777" w:rsidR="00CC19EC" w:rsidRPr="00B14FAA" w:rsidRDefault="00CC19EC" w:rsidP="001D7292">
            <w:pPr>
              <w:pStyle w:val="06TertiaryHead"/>
              <w:spacing w:before="0"/>
              <w:jc w:val="both"/>
              <w:rPr>
                <w:rFonts w:asciiTheme="minorHAnsi" w:hAnsiTheme="minorHAnsi" w:cstheme="minorHAnsi"/>
              </w:rPr>
            </w:pPr>
            <w:r w:rsidRPr="00B14FAA">
              <w:rPr>
                <w:rFonts w:asciiTheme="minorHAnsi" w:hAnsiTheme="minorHAnsi" w:cstheme="minorHAnsi"/>
              </w:rPr>
              <w:t>FTIF Templeton Japan Fund​</w:t>
            </w:r>
          </w:p>
          <w:p w14:paraId="23DC513F" w14:textId="77777777" w:rsidR="00CC19EC" w:rsidRPr="00883697" w:rsidRDefault="00CC19EC" w:rsidP="001D7292">
            <w:pPr>
              <w:pStyle w:val="06TertiaryHead"/>
              <w:spacing w:before="0"/>
              <w:jc w:val="both"/>
              <w:rPr>
                <w:rFonts w:asciiTheme="minorHAnsi" w:hAnsiTheme="minorHAnsi" w:cstheme="minorHAnsi"/>
              </w:rPr>
            </w:pPr>
            <w:r w:rsidRPr="00B14FAA">
              <w:rPr>
                <w:rFonts w:asciiTheme="minorHAnsi" w:hAnsiTheme="minorHAnsi" w:cstheme="minorHAnsi"/>
              </w:rPr>
              <w:t>FTIF Templeton European Insights Fund​</w:t>
            </w:r>
          </w:p>
        </w:tc>
      </w:tr>
      <w:tr w:rsidR="00CC19EC" w:rsidRPr="00A61FB5" w14:paraId="42FBC8A5" w14:textId="77777777" w:rsidTr="00CC19EC">
        <w:trPr>
          <w:trHeight w:val="338"/>
        </w:trPr>
        <w:tc>
          <w:tcPr>
            <w:tcW w:w="10485" w:type="dxa"/>
            <w:gridSpan w:val="2"/>
            <w:shd w:val="clear" w:color="auto" w:fill="DCE8FF" w:themeFill="accent4" w:themeFillTint="33"/>
            <w:vAlign w:val="center"/>
          </w:tcPr>
          <w:p w14:paraId="7FBE4F79" w14:textId="77777777" w:rsidR="00CC19EC"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Summary of Changes: </w:t>
            </w:r>
            <w:r w:rsidRPr="007B4068">
              <w:rPr>
                <w:rFonts w:asciiTheme="minorHAnsi" w:hAnsiTheme="minorHAnsi" w:cstheme="minorHAnsi"/>
                <w:b w:val="0"/>
                <w:bCs w:val="0"/>
              </w:rPr>
              <w:t>Updates to the SFDR annexes/Pre-Contractual Disclosures (PCDs) of the above TGI funds</w:t>
            </w:r>
            <w:r>
              <w:rPr>
                <w:rFonts w:asciiTheme="minorHAnsi" w:hAnsiTheme="minorHAnsi" w:cstheme="minorHAnsi"/>
              </w:rPr>
              <w:t xml:space="preserve"> </w:t>
            </w:r>
          </w:p>
        </w:tc>
      </w:tr>
      <w:tr w:rsidR="00CC19EC" w:rsidRPr="00A61FB5" w14:paraId="59A31B8A" w14:textId="77777777" w:rsidTr="00CC19EC">
        <w:trPr>
          <w:trHeight w:val="346"/>
        </w:trPr>
        <w:tc>
          <w:tcPr>
            <w:tcW w:w="4673" w:type="dxa"/>
            <w:shd w:val="clear" w:color="auto" w:fill="E5E5E5" w:themeFill="accent5" w:themeFillTint="66"/>
            <w:vAlign w:val="center"/>
          </w:tcPr>
          <w:p w14:paraId="504D4D2A" w14:textId="77777777" w:rsidR="00CC19EC" w:rsidRPr="00A61FB5" w:rsidRDefault="00CC19EC" w:rsidP="001D7292">
            <w:pPr>
              <w:pStyle w:val="06TertiaryHead"/>
              <w:jc w:val="center"/>
              <w:rPr>
                <w:rFonts w:asciiTheme="minorHAnsi" w:hAnsiTheme="minorHAnsi" w:cstheme="minorHAnsi"/>
              </w:rPr>
            </w:pPr>
            <w:r w:rsidRPr="00A61FB5">
              <w:rPr>
                <w:rFonts w:asciiTheme="minorHAnsi" w:hAnsiTheme="minorHAnsi" w:cstheme="minorHAnsi"/>
              </w:rPr>
              <w:t>Propos</w:t>
            </w:r>
            <w:r>
              <w:rPr>
                <w:rFonts w:asciiTheme="minorHAnsi" w:hAnsiTheme="minorHAnsi" w:cstheme="minorHAnsi"/>
              </w:rPr>
              <w:t>ed Changes</w:t>
            </w:r>
          </w:p>
        </w:tc>
        <w:tc>
          <w:tcPr>
            <w:tcW w:w="5812" w:type="dxa"/>
            <w:shd w:val="clear" w:color="auto" w:fill="E5E5E5" w:themeFill="accent5" w:themeFillTint="66"/>
            <w:vAlign w:val="center"/>
          </w:tcPr>
          <w:p w14:paraId="40961B53" w14:textId="77777777" w:rsidR="00CC19EC" w:rsidRPr="00A61FB5" w:rsidRDefault="00CC19EC" w:rsidP="001D7292">
            <w:pPr>
              <w:pStyle w:val="06TertiaryHead"/>
              <w:jc w:val="center"/>
              <w:rPr>
                <w:rFonts w:asciiTheme="minorHAnsi" w:hAnsiTheme="minorHAnsi" w:cstheme="minorHAnsi"/>
              </w:rPr>
            </w:pPr>
            <w:r w:rsidRPr="00A61FB5">
              <w:rPr>
                <w:rFonts w:asciiTheme="minorHAnsi" w:hAnsiTheme="minorHAnsi" w:cstheme="minorHAnsi"/>
              </w:rPr>
              <w:t>Rationale</w:t>
            </w:r>
          </w:p>
        </w:tc>
      </w:tr>
      <w:tr w:rsidR="00CC19EC" w:rsidRPr="00A61FB5" w14:paraId="1CA4A17F" w14:textId="77777777" w:rsidTr="00CC19EC">
        <w:trPr>
          <w:trHeight w:val="620"/>
        </w:trPr>
        <w:tc>
          <w:tcPr>
            <w:tcW w:w="4673" w:type="dxa"/>
          </w:tcPr>
          <w:p w14:paraId="6164558C" w14:textId="77777777" w:rsidR="00CC19EC" w:rsidRPr="007A6283" w:rsidRDefault="00CC19EC" w:rsidP="001D7292">
            <w:pPr>
              <w:pStyle w:val="06TertiaryHead"/>
              <w:jc w:val="both"/>
              <w:rPr>
                <w:rFonts w:asciiTheme="minorHAnsi" w:hAnsiTheme="minorHAnsi" w:cstheme="minorHAnsi"/>
                <w:b w:val="0"/>
                <w:bCs w:val="0"/>
              </w:rPr>
            </w:pPr>
            <w:r w:rsidRPr="007A6283">
              <w:rPr>
                <w:rFonts w:asciiTheme="minorHAnsi" w:hAnsiTheme="minorHAnsi" w:cstheme="minorHAnsi"/>
                <w:b w:val="0"/>
                <w:bCs w:val="0"/>
              </w:rPr>
              <w:lastRenderedPageBreak/>
              <w:t>Updates to the SFDR annexes of the above listed funds to reflect the below change</w:t>
            </w:r>
            <w:r>
              <w:rPr>
                <w:rFonts w:asciiTheme="minorHAnsi" w:hAnsiTheme="minorHAnsi" w:cstheme="minorHAnsi"/>
                <w:b w:val="0"/>
                <w:bCs w:val="0"/>
              </w:rPr>
              <w:t xml:space="preserve"> - </w:t>
            </w:r>
          </w:p>
          <w:p w14:paraId="6132C296" w14:textId="77777777" w:rsidR="00CC19EC" w:rsidRPr="007A4CC0" w:rsidRDefault="00CC19EC" w:rsidP="00CC19EC">
            <w:pPr>
              <w:pStyle w:val="06TertiaryHead"/>
              <w:numPr>
                <w:ilvl w:val="0"/>
                <w:numId w:val="19"/>
              </w:numPr>
              <w:jc w:val="both"/>
              <w:rPr>
                <w:rFonts w:asciiTheme="minorHAnsi" w:hAnsiTheme="minorHAnsi" w:cstheme="minorHAnsi"/>
                <w:b w:val="0"/>
                <w:bCs w:val="0"/>
              </w:rPr>
            </w:pPr>
            <w:r w:rsidRPr="007A6283">
              <w:rPr>
                <w:rFonts w:asciiTheme="minorHAnsi" w:hAnsiTheme="minorHAnsi" w:cstheme="minorHAnsi"/>
                <w:b w:val="0"/>
                <w:bCs w:val="0"/>
              </w:rPr>
              <w:t>Language to reflect new TGI ratings systems. Moving from numbers to letters.​</w:t>
            </w:r>
          </w:p>
        </w:tc>
        <w:tc>
          <w:tcPr>
            <w:tcW w:w="5812" w:type="dxa"/>
          </w:tcPr>
          <w:p w14:paraId="735FCF74" w14:textId="77777777" w:rsidR="00CC19EC" w:rsidRDefault="00CC19EC" w:rsidP="001D7292">
            <w:pPr>
              <w:pStyle w:val="06TertiaryHead"/>
              <w:jc w:val="both"/>
              <w:rPr>
                <w:rFonts w:asciiTheme="minorHAnsi" w:hAnsiTheme="minorHAnsi" w:cstheme="minorHAnsi"/>
                <w:b w:val="0"/>
                <w:bCs w:val="0"/>
              </w:rPr>
            </w:pPr>
            <w:r w:rsidRPr="006C6A13">
              <w:rPr>
                <w:rFonts w:asciiTheme="minorHAnsi" w:hAnsiTheme="minorHAnsi" w:cstheme="minorHAnsi"/>
                <w:b w:val="0"/>
                <w:bCs w:val="0"/>
              </w:rPr>
              <w:t>TGI research consolidation into single rating system​</w:t>
            </w:r>
            <w:r>
              <w:rPr>
                <w:rFonts w:asciiTheme="minorHAnsi" w:hAnsiTheme="minorHAnsi" w:cstheme="minorHAnsi"/>
                <w:b w:val="0"/>
                <w:bCs w:val="0"/>
              </w:rPr>
              <w:t>:</w:t>
            </w:r>
          </w:p>
          <w:p w14:paraId="3DA6829D" w14:textId="77777777" w:rsidR="00CC19EC" w:rsidRPr="00B377FA" w:rsidRDefault="00CC19EC" w:rsidP="00CC19EC">
            <w:pPr>
              <w:pStyle w:val="06TertiaryHead"/>
              <w:numPr>
                <w:ilvl w:val="0"/>
                <w:numId w:val="26"/>
              </w:numPr>
              <w:jc w:val="both"/>
              <w:rPr>
                <w:rFonts w:asciiTheme="minorHAnsi" w:hAnsiTheme="minorHAnsi" w:cstheme="minorHAnsi"/>
                <w:b w:val="0"/>
                <w:bCs w:val="0"/>
              </w:rPr>
            </w:pPr>
            <w:r w:rsidRPr="5FAD7932">
              <w:rPr>
                <w:rFonts w:asciiTheme="minorHAnsi" w:hAnsiTheme="minorHAnsi" w:cstheme="minorBidi"/>
                <w:b w:val="0"/>
              </w:rPr>
              <w:t>Templeton Global Investments (TGI) has consolidated its global equity research capabilities, bringing together the legacy FTEME and TGEG investment teams.</w:t>
            </w:r>
          </w:p>
          <w:p w14:paraId="37ED830C" w14:textId="77777777" w:rsidR="00CC19EC" w:rsidRPr="00B377FA" w:rsidRDefault="00CC19EC" w:rsidP="00CC19EC">
            <w:pPr>
              <w:pStyle w:val="06TertiaryHead"/>
              <w:numPr>
                <w:ilvl w:val="0"/>
                <w:numId w:val="26"/>
              </w:numPr>
              <w:jc w:val="both"/>
              <w:rPr>
                <w:rFonts w:asciiTheme="minorHAnsi" w:hAnsiTheme="minorHAnsi" w:cstheme="minorHAnsi"/>
                <w:b w:val="0"/>
                <w:bCs w:val="0"/>
              </w:rPr>
            </w:pPr>
            <w:r w:rsidRPr="00B377FA">
              <w:rPr>
                <w:rFonts w:asciiTheme="minorHAnsi" w:hAnsiTheme="minorHAnsi" w:cstheme="minorBidi"/>
                <w:b w:val="0"/>
              </w:rPr>
              <w:t>As part of this alignment, a unified ESG rating framework has been introduced to ensure consistency of analysis, comparability of ratings, and a harmonised approach across TGI.</w:t>
            </w:r>
          </w:p>
          <w:p w14:paraId="2DC93E2D" w14:textId="77777777" w:rsidR="00CC19EC" w:rsidRPr="00C24D7C" w:rsidRDefault="00CC19EC" w:rsidP="00CC19EC">
            <w:pPr>
              <w:pStyle w:val="06TertiaryHead"/>
              <w:numPr>
                <w:ilvl w:val="0"/>
                <w:numId w:val="26"/>
              </w:numPr>
              <w:jc w:val="both"/>
              <w:rPr>
                <w:rFonts w:asciiTheme="minorHAnsi" w:hAnsiTheme="minorHAnsi" w:cstheme="minorHAnsi"/>
                <w:b w:val="0"/>
                <w:bCs w:val="0"/>
              </w:rPr>
            </w:pPr>
            <w:r w:rsidRPr="00B377FA">
              <w:rPr>
                <w:rFonts w:asciiTheme="minorHAnsi" w:hAnsiTheme="minorHAnsi" w:cstheme="minorBidi"/>
                <w:b w:val="0"/>
              </w:rPr>
              <w:t>Across the TGI Article 8, investee companies are assessed using the Investment Manager’s proprietary ESG methodology and assigned ratings of A (Excellent), B (Good), C (Adequate) or D (Poor). The Article 9 funds have also been adjusted where applicable.</w:t>
            </w:r>
          </w:p>
          <w:p w14:paraId="1C62FD85" w14:textId="77777777" w:rsidR="00CC19EC" w:rsidRPr="00743E3E" w:rsidRDefault="00CC19EC" w:rsidP="001D7292">
            <w:pPr>
              <w:pStyle w:val="06TertiaryHead"/>
              <w:ind w:left="720"/>
              <w:jc w:val="both"/>
              <w:rPr>
                <w:rFonts w:asciiTheme="minorHAnsi" w:hAnsiTheme="minorHAnsi" w:cstheme="minorHAnsi"/>
                <w:b w:val="0"/>
                <w:bCs w:val="0"/>
              </w:rPr>
            </w:pPr>
          </w:p>
        </w:tc>
      </w:tr>
    </w:tbl>
    <w:p w14:paraId="3A51E0C2" w14:textId="77777777" w:rsidR="00CC19EC" w:rsidRDefault="00CC19EC" w:rsidP="00CC19EC">
      <w:pPr>
        <w:ind w:left="0"/>
        <w:rPr>
          <w:rFonts w:asciiTheme="minorHAnsi" w:hAnsiTheme="minorHAnsi" w:cstheme="minorHAnsi"/>
        </w:rPr>
      </w:pPr>
    </w:p>
    <w:tbl>
      <w:tblPr>
        <w:tblStyle w:val="TableGrid"/>
        <w:tblW w:w="10485" w:type="dxa"/>
        <w:tblLook w:val="04A0" w:firstRow="1" w:lastRow="0" w:firstColumn="1" w:lastColumn="0" w:noHBand="0" w:noVBand="1"/>
      </w:tblPr>
      <w:tblGrid>
        <w:gridCol w:w="4673"/>
        <w:gridCol w:w="5812"/>
      </w:tblGrid>
      <w:tr w:rsidR="00CC19EC" w:rsidRPr="001A0460" w14:paraId="0FFEA5D9" w14:textId="77777777" w:rsidTr="00CC19EC">
        <w:trPr>
          <w:trHeight w:val="338"/>
        </w:trPr>
        <w:tc>
          <w:tcPr>
            <w:tcW w:w="10485" w:type="dxa"/>
            <w:gridSpan w:val="2"/>
            <w:shd w:val="clear" w:color="auto" w:fill="97BCFF" w:themeFill="accent4" w:themeFillTint="99"/>
            <w:vAlign w:val="center"/>
          </w:tcPr>
          <w:p w14:paraId="722852D5" w14:textId="77777777" w:rsidR="00CC19EC" w:rsidRPr="001A0460" w:rsidRDefault="00CC19EC" w:rsidP="001D7292">
            <w:pPr>
              <w:pStyle w:val="06TertiaryHead"/>
              <w:spacing w:before="0"/>
              <w:jc w:val="both"/>
              <w:rPr>
                <w:rFonts w:asciiTheme="minorHAnsi" w:hAnsiTheme="minorHAnsi" w:cstheme="minorHAnsi"/>
                <w:strike/>
                <w:color w:val="FF0000"/>
              </w:rPr>
            </w:pPr>
            <w:r>
              <w:rPr>
                <w:rFonts w:asciiTheme="minorHAnsi" w:hAnsiTheme="minorHAnsi" w:cstheme="minorHAnsi"/>
              </w:rPr>
              <w:t xml:space="preserve">Fund: </w:t>
            </w:r>
            <w:r w:rsidRPr="00B14FAA">
              <w:rPr>
                <w:rFonts w:asciiTheme="minorHAnsi" w:hAnsiTheme="minorHAnsi" w:cstheme="minorHAnsi"/>
              </w:rPr>
              <w:t>FTIF Templeton European Insights Fund​</w:t>
            </w:r>
          </w:p>
        </w:tc>
      </w:tr>
      <w:tr w:rsidR="00CC19EC" w:rsidRPr="001A0460" w14:paraId="5E4B22B1" w14:textId="77777777" w:rsidTr="00CC19EC">
        <w:trPr>
          <w:trHeight w:val="338"/>
        </w:trPr>
        <w:tc>
          <w:tcPr>
            <w:tcW w:w="10485" w:type="dxa"/>
            <w:gridSpan w:val="2"/>
            <w:shd w:val="clear" w:color="auto" w:fill="DCE8FF" w:themeFill="accent4" w:themeFillTint="33"/>
            <w:vAlign w:val="center"/>
          </w:tcPr>
          <w:p w14:paraId="372D4209" w14:textId="77777777" w:rsidR="00CC19EC"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Summary of Changes: </w:t>
            </w:r>
            <w:r w:rsidRPr="00A70A59">
              <w:rPr>
                <w:rFonts w:asciiTheme="minorHAnsi" w:hAnsiTheme="minorHAnsi" w:cstheme="minorHAnsi"/>
                <w:b w:val="0"/>
                <w:bCs w:val="0"/>
              </w:rPr>
              <w:t>Updates to the SFDR annex/Pre-Contractual Disclosures (PCDs) of the above TGI fund</w:t>
            </w:r>
          </w:p>
        </w:tc>
      </w:tr>
      <w:tr w:rsidR="00CC19EC" w:rsidRPr="001A0460" w14:paraId="1C8770F7" w14:textId="77777777" w:rsidTr="00CC19EC">
        <w:trPr>
          <w:trHeight w:val="346"/>
        </w:trPr>
        <w:tc>
          <w:tcPr>
            <w:tcW w:w="4673" w:type="dxa"/>
            <w:shd w:val="clear" w:color="auto" w:fill="E5E5E5" w:themeFill="accent5" w:themeFillTint="66"/>
            <w:vAlign w:val="center"/>
          </w:tcPr>
          <w:p w14:paraId="037ECED3" w14:textId="77777777" w:rsidR="00CC19EC" w:rsidRPr="00B42E57" w:rsidRDefault="00CC19EC" w:rsidP="001D7292">
            <w:pPr>
              <w:pStyle w:val="06TertiaryHead"/>
              <w:jc w:val="center"/>
              <w:rPr>
                <w:rFonts w:asciiTheme="minorHAnsi" w:hAnsiTheme="minorHAnsi" w:cstheme="minorHAnsi"/>
              </w:rPr>
            </w:pPr>
            <w:r w:rsidRPr="00B42E57">
              <w:rPr>
                <w:rFonts w:asciiTheme="minorHAnsi" w:hAnsiTheme="minorHAnsi" w:cstheme="minorHAnsi"/>
              </w:rPr>
              <w:t>Propos</w:t>
            </w:r>
            <w:r>
              <w:rPr>
                <w:rFonts w:asciiTheme="minorHAnsi" w:hAnsiTheme="minorHAnsi" w:cstheme="minorHAnsi"/>
              </w:rPr>
              <w:t>ed Changes</w:t>
            </w:r>
          </w:p>
        </w:tc>
        <w:tc>
          <w:tcPr>
            <w:tcW w:w="5812" w:type="dxa"/>
            <w:shd w:val="clear" w:color="auto" w:fill="E5E5E5" w:themeFill="accent5" w:themeFillTint="66"/>
            <w:vAlign w:val="center"/>
          </w:tcPr>
          <w:p w14:paraId="32D1250F" w14:textId="77777777" w:rsidR="00CC19EC" w:rsidRPr="00B42E57" w:rsidRDefault="00CC19EC" w:rsidP="001D7292">
            <w:pPr>
              <w:pStyle w:val="06TertiaryHead"/>
              <w:jc w:val="center"/>
              <w:rPr>
                <w:rFonts w:asciiTheme="minorHAnsi" w:hAnsiTheme="minorHAnsi" w:cstheme="minorHAnsi"/>
              </w:rPr>
            </w:pPr>
            <w:r w:rsidRPr="00B42E57">
              <w:rPr>
                <w:rFonts w:asciiTheme="minorHAnsi" w:hAnsiTheme="minorHAnsi" w:cstheme="minorHAnsi"/>
              </w:rPr>
              <w:t>Rationale</w:t>
            </w:r>
          </w:p>
        </w:tc>
      </w:tr>
      <w:tr w:rsidR="00CC19EC" w:rsidRPr="001A0460" w14:paraId="64554A6A" w14:textId="77777777" w:rsidTr="00CC19EC">
        <w:trPr>
          <w:trHeight w:val="620"/>
        </w:trPr>
        <w:tc>
          <w:tcPr>
            <w:tcW w:w="4673" w:type="dxa"/>
          </w:tcPr>
          <w:p w14:paraId="13057645" w14:textId="77777777" w:rsidR="00CC19EC" w:rsidRPr="0096596B" w:rsidRDefault="00CC19EC" w:rsidP="001D7292">
            <w:pPr>
              <w:pStyle w:val="06TertiaryHead"/>
              <w:jc w:val="both"/>
              <w:rPr>
                <w:rFonts w:asciiTheme="minorHAnsi" w:hAnsiTheme="minorHAnsi" w:cstheme="minorHAnsi"/>
                <w:b w:val="0"/>
                <w:bCs w:val="0"/>
              </w:rPr>
            </w:pPr>
            <w:r w:rsidRPr="0096596B">
              <w:rPr>
                <w:rFonts w:asciiTheme="minorHAnsi" w:hAnsiTheme="minorHAnsi" w:cstheme="minorHAnsi"/>
                <w:b w:val="0"/>
                <w:bCs w:val="0"/>
              </w:rPr>
              <w:t xml:space="preserve">Updates to the SFDR annexes of the above listed funds to reflect the below change - </w:t>
            </w:r>
          </w:p>
          <w:p w14:paraId="5396F3EE" w14:textId="77777777" w:rsidR="00CC19EC" w:rsidRDefault="00CC19EC" w:rsidP="00CC19EC">
            <w:pPr>
              <w:pStyle w:val="06TertiaryHead"/>
              <w:numPr>
                <w:ilvl w:val="0"/>
                <w:numId w:val="19"/>
              </w:numPr>
              <w:jc w:val="both"/>
              <w:rPr>
                <w:rFonts w:asciiTheme="minorHAnsi" w:hAnsiTheme="minorHAnsi" w:cstheme="minorHAnsi"/>
                <w:b w:val="0"/>
                <w:bCs w:val="0"/>
              </w:rPr>
            </w:pPr>
            <w:r w:rsidRPr="0096596B">
              <w:rPr>
                <w:rFonts w:asciiTheme="minorHAnsi" w:hAnsiTheme="minorHAnsi" w:cstheme="minorHAnsi"/>
                <w:b w:val="0"/>
                <w:bCs w:val="0"/>
              </w:rPr>
              <w:t>Language to reflect new TGI ratings systems. Moving from numbers to letters.​</w:t>
            </w:r>
          </w:p>
          <w:p w14:paraId="6118DA82" w14:textId="77777777" w:rsidR="00CC19EC" w:rsidRPr="00B42E57" w:rsidRDefault="00CC19EC" w:rsidP="00CC19EC">
            <w:pPr>
              <w:pStyle w:val="06TertiaryHead"/>
              <w:numPr>
                <w:ilvl w:val="0"/>
                <w:numId w:val="19"/>
              </w:numPr>
              <w:jc w:val="both"/>
              <w:rPr>
                <w:rFonts w:asciiTheme="minorHAnsi" w:hAnsiTheme="minorHAnsi" w:cstheme="minorHAnsi"/>
                <w:b w:val="0"/>
                <w:bCs w:val="0"/>
              </w:rPr>
            </w:pPr>
            <w:r w:rsidRPr="00B42E57">
              <w:rPr>
                <w:rFonts w:asciiTheme="minorHAnsi" w:hAnsiTheme="minorHAnsi" w:cstheme="minorHAnsi"/>
                <w:b w:val="0"/>
                <w:bCs w:val="0"/>
              </w:rPr>
              <w:t>Remove the following sustainability indicators: percentage of companies providing employee satisfaction surveys and material non-compensation benefits.</w:t>
            </w:r>
          </w:p>
        </w:tc>
        <w:tc>
          <w:tcPr>
            <w:tcW w:w="5812" w:type="dxa"/>
          </w:tcPr>
          <w:p w14:paraId="1183A065" w14:textId="77777777" w:rsidR="00CC19EC" w:rsidRDefault="00CC19EC" w:rsidP="00CC19EC">
            <w:pPr>
              <w:pStyle w:val="06TertiaryHead"/>
              <w:numPr>
                <w:ilvl w:val="0"/>
                <w:numId w:val="22"/>
              </w:numPr>
              <w:jc w:val="both"/>
              <w:rPr>
                <w:rFonts w:asciiTheme="minorHAnsi" w:hAnsiTheme="minorHAnsi" w:cstheme="minorHAnsi"/>
                <w:b w:val="0"/>
                <w:bCs w:val="0"/>
              </w:rPr>
            </w:pPr>
            <w:r w:rsidRPr="00B42E57">
              <w:rPr>
                <w:rFonts w:asciiTheme="minorHAnsi" w:hAnsiTheme="minorHAnsi" w:cstheme="minorHAnsi"/>
                <w:b w:val="0"/>
                <w:bCs w:val="0"/>
              </w:rPr>
              <w:t>TGI research consolidation into single rating system​</w:t>
            </w:r>
            <w:r>
              <w:rPr>
                <w:rFonts w:asciiTheme="minorHAnsi" w:hAnsiTheme="minorHAnsi" w:cstheme="minorHAnsi"/>
                <w:b w:val="0"/>
                <w:bCs w:val="0"/>
              </w:rPr>
              <w:t>:</w:t>
            </w:r>
          </w:p>
          <w:p w14:paraId="01ACFD24" w14:textId="77777777" w:rsidR="00CC19EC" w:rsidRPr="00A70A59" w:rsidRDefault="00CC19EC" w:rsidP="00CC19EC">
            <w:pPr>
              <w:pStyle w:val="06TertiaryHead"/>
              <w:numPr>
                <w:ilvl w:val="1"/>
                <w:numId w:val="22"/>
              </w:numPr>
              <w:jc w:val="both"/>
              <w:rPr>
                <w:rFonts w:asciiTheme="minorHAnsi" w:hAnsiTheme="minorHAnsi" w:cstheme="minorHAnsi"/>
                <w:b w:val="0"/>
                <w:bCs w:val="0"/>
              </w:rPr>
            </w:pPr>
            <w:r w:rsidRPr="00A70A59">
              <w:rPr>
                <w:rFonts w:asciiTheme="minorHAnsi" w:hAnsiTheme="minorHAnsi" w:cstheme="minorBidi"/>
                <w:b w:val="0"/>
              </w:rPr>
              <w:t>Templeton Global Investments (TGI) has consolidated its global equity research capabilities, bringing together the legacy FTEME and TGEG investment teams</w:t>
            </w:r>
            <w:r>
              <w:rPr>
                <w:rFonts w:asciiTheme="minorHAnsi" w:hAnsiTheme="minorHAnsi" w:cstheme="minorBidi"/>
                <w:b w:val="0"/>
              </w:rPr>
              <w:t>.</w:t>
            </w:r>
          </w:p>
          <w:p w14:paraId="6477F544" w14:textId="77777777" w:rsidR="00CC19EC" w:rsidRPr="00A70A59" w:rsidRDefault="00CC19EC" w:rsidP="00CC19EC">
            <w:pPr>
              <w:pStyle w:val="06TertiaryHead"/>
              <w:numPr>
                <w:ilvl w:val="1"/>
                <w:numId w:val="22"/>
              </w:numPr>
              <w:jc w:val="both"/>
              <w:rPr>
                <w:rFonts w:asciiTheme="minorHAnsi" w:hAnsiTheme="minorHAnsi" w:cstheme="minorHAnsi"/>
                <w:b w:val="0"/>
                <w:bCs w:val="0"/>
              </w:rPr>
            </w:pPr>
            <w:r w:rsidRPr="00A70A59">
              <w:rPr>
                <w:rFonts w:asciiTheme="minorHAnsi" w:hAnsiTheme="minorHAnsi" w:cstheme="minorBidi"/>
                <w:b w:val="0"/>
              </w:rPr>
              <w:t>As part of this alignment, a unified ESG rating framework has been introduced to ensure consistency of analysis, comparability of ratings, and a harmonised approach across TGI.</w:t>
            </w:r>
          </w:p>
          <w:p w14:paraId="69090B78" w14:textId="77777777" w:rsidR="00CC19EC" w:rsidRPr="00A70A59" w:rsidRDefault="00CC19EC" w:rsidP="00CC19EC">
            <w:pPr>
              <w:pStyle w:val="06TertiaryHead"/>
              <w:numPr>
                <w:ilvl w:val="1"/>
                <w:numId w:val="22"/>
              </w:numPr>
              <w:jc w:val="both"/>
              <w:rPr>
                <w:rFonts w:asciiTheme="minorHAnsi" w:hAnsiTheme="minorHAnsi" w:cstheme="minorHAnsi"/>
                <w:b w:val="0"/>
                <w:bCs w:val="0"/>
              </w:rPr>
            </w:pPr>
            <w:r w:rsidRPr="00A70A59">
              <w:rPr>
                <w:rFonts w:asciiTheme="minorHAnsi" w:hAnsiTheme="minorHAnsi" w:cstheme="minorBidi"/>
                <w:b w:val="0"/>
              </w:rPr>
              <w:t>Across the TGI Article 8, investee companies are assessed using the Investment Manager’s proprietary ESG methodology and assigned ratings of A (Excellent), B (Good), C (Adequate) or D (Poor). The Article 9 funds have also been adjusted where applicable.</w:t>
            </w:r>
          </w:p>
          <w:p w14:paraId="1B09DC4E" w14:textId="77777777" w:rsidR="00CC19EC" w:rsidRPr="00A70A59" w:rsidRDefault="00CC19EC" w:rsidP="00CC19EC">
            <w:pPr>
              <w:pStyle w:val="06TertiaryHead"/>
              <w:numPr>
                <w:ilvl w:val="0"/>
                <w:numId w:val="22"/>
              </w:numPr>
              <w:jc w:val="both"/>
              <w:rPr>
                <w:rFonts w:asciiTheme="minorHAnsi" w:hAnsiTheme="minorHAnsi" w:cstheme="minorBidi"/>
                <w:b w:val="0"/>
              </w:rPr>
            </w:pPr>
            <w:r w:rsidRPr="5FAD7932">
              <w:rPr>
                <w:rFonts w:asciiTheme="minorHAnsi" w:hAnsiTheme="minorHAnsi" w:cstheme="minorBidi"/>
                <w:b w:val="0"/>
              </w:rPr>
              <w:t>These KPIs are no longer maintained consistently and reliably by MSCI.</w:t>
            </w:r>
          </w:p>
        </w:tc>
      </w:tr>
    </w:tbl>
    <w:p w14:paraId="04284702" w14:textId="77777777" w:rsidR="00CC19EC" w:rsidRDefault="00CC19EC" w:rsidP="00CC19EC">
      <w:pPr>
        <w:ind w:left="0"/>
        <w:rPr>
          <w:rFonts w:asciiTheme="minorHAnsi" w:hAnsiTheme="minorHAnsi" w:cstheme="minorHAnsi"/>
        </w:rPr>
      </w:pPr>
    </w:p>
    <w:tbl>
      <w:tblPr>
        <w:tblStyle w:val="TableGrid"/>
        <w:tblW w:w="10485" w:type="dxa"/>
        <w:tblLook w:val="04A0" w:firstRow="1" w:lastRow="0" w:firstColumn="1" w:lastColumn="0" w:noHBand="0" w:noVBand="1"/>
      </w:tblPr>
      <w:tblGrid>
        <w:gridCol w:w="4673"/>
        <w:gridCol w:w="5812"/>
      </w:tblGrid>
      <w:tr w:rsidR="00CC19EC" w:rsidRPr="00A61FB5" w14:paraId="57484B02" w14:textId="77777777" w:rsidTr="00630348">
        <w:trPr>
          <w:trHeight w:val="338"/>
        </w:trPr>
        <w:tc>
          <w:tcPr>
            <w:tcW w:w="10485" w:type="dxa"/>
            <w:gridSpan w:val="2"/>
            <w:shd w:val="clear" w:color="auto" w:fill="97BCFF" w:themeFill="accent4" w:themeFillTint="99"/>
            <w:vAlign w:val="center"/>
          </w:tcPr>
          <w:p w14:paraId="1838D4CC" w14:textId="77777777" w:rsidR="00CC19EC" w:rsidRPr="00883697"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Fund FTIF </w:t>
            </w:r>
            <w:r w:rsidRPr="00402DEF">
              <w:rPr>
                <w:rFonts w:asciiTheme="minorHAnsi" w:hAnsiTheme="minorHAnsi" w:cstheme="minorHAnsi"/>
              </w:rPr>
              <w:t>Templeton Global Fund (to be re-named Templeton Global Focus Fund effective 8 June 2026)</w:t>
            </w:r>
          </w:p>
        </w:tc>
      </w:tr>
      <w:tr w:rsidR="00CC19EC" w:rsidRPr="00A61FB5" w14:paraId="400DED92" w14:textId="77777777" w:rsidTr="00630348">
        <w:trPr>
          <w:trHeight w:val="338"/>
        </w:trPr>
        <w:tc>
          <w:tcPr>
            <w:tcW w:w="10485" w:type="dxa"/>
            <w:gridSpan w:val="2"/>
            <w:shd w:val="clear" w:color="auto" w:fill="DCE8FF" w:themeFill="accent4" w:themeFillTint="33"/>
            <w:vAlign w:val="center"/>
          </w:tcPr>
          <w:p w14:paraId="0B726EB6" w14:textId="77777777" w:rsidR="00CC19EC"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Summary of Changes: </w:t>
            </w:r>
            <w:r w:rsidRPr="00486B30">
              <w:rPr>
                <w:rFonts w:asciiTheme="minorHAnsi" w:hAnsiTheme="minorHAnsi" w:cstheme="minorHAnsi"/>
                <w:b w:val="0"/>
                <w:bCs w:val="0"/>
              </w:rPr>
              <w:t>Updates to the SFDR annex/Pre-Contractual Disclosures (PCDs) of the above TGI fund</w:t>
            </w:r>
          </w:p>
        </w:tc>
      </w:tr>
      <w:tr w:rsidR="00CC19EC" w:rsidRPr="00A61FB5" w14:paraId="3ADD343F" w14:textId="77777777" w:rsidTr="00630348">
        <w:trPr>
          <w:trHeight w:val="346"/>
        </w:trPr>
        <w:tc>
          <w:tcPr>
            <w:tcW w:w="4673" w:type="dxa"/>
            <w:shd w:val="clear" w:color="auto" w:fill="E5E5E5" w:themeFill="accent5" w:themeFillTint="66"/>
            <w:vAlign w:val="center"/>
          </w:tcPr>
          <w:p w14:paraId="715FCF61" w14:textId="77777777" w:rsidR="00CC19EC" w:rsidRPr="00A61FB5" w:rsidRDefault="00CC19EC" w:rsidP="001D7292">
            <w:pPr>
              <w:pStyle w:val="06TertiaryHead"/>
              <w:jc w:val="center"/>
              <w:rPr>
                <w:rFonts w:asciiTheme="minorHAnsi" w:hAnsiTheme="minorHAnsi" w:cstheme="minorHAnsi"/>
              </w:rPr>
            </w:pPr>
            <w:r w:rsidRPr="00A61FB5">
              <w:rPr>
                <w:rFonts w:asciiTheme="minorHAnsi" w:hAnsiTheme="minorHAnsi" w:cstheme="minorHAnsi"/>
              </w:rPr>
              <w:t>Propos</w:t>
            </w:r>
            <w:r>
              <w:rPr>
                <w:rFonts w:asciiTheme="minorHAnsi" w:hAnsiTheme="minorHAnsi" w:cstheme="minorHAnsi"/>
              </w:rPr>
              <w:t>ed Changes</w:t>
            </w:r>
          </w:p>
        </w:tc>
        <w:tc>
          <w:tcPr>
            <w:tcW w:w="5812" w:type="dxa"/>
            <w:shd w:val="clear" w:color="auto" w:fill="E5E5E5" w:themeFill="accent5" w:themeFillTint="66"/>
            <w:vAlign w:val="center"/>
          </w:tcPr>
          <w:p w14:paraId="03A3B82C" w14:textId="77777777" w:rsidR="00CC19EC" w:rsidRPr="00A61FB5" w:rsidRDefault="00CC19EC" w:rsidP="001D7292">
            <w:pPr>
              <w:pStyle w:val="06TertiaryHead"/>
              <w:jc w:val="center"/>
              <w:rPr>
                <w:rFonts w:asciiTheme="minorHAnsi" w:hAnsiTheme="minorHAnsi" w:cstheme="minorHAnsi"/>
              </w:rPr>
            </w:pPr>
            <w:r w:rsidRPr="00A61FB5">
              <w:rPr>
                <w:rFonts w:asciiTheme="minorHAnsi" w:hAnsiTheme="minorHAnsi" w:cstheme="minorHAnsi"/>
              </w:rPr>
              <w:t>Rationale</w:t>
            </w:r>
          </w:p>
        </w:tc>
      </w:tr>
      <w:tr w:rsidR="00CC19EC" w:rsidRPr="00A61FB5" w14:paraId="16AA5F50" w14:textId="77777777" w:rsidTr="00630348">
        <w:trPr>
          <w:trHeight w:val="620"/>
        </w:trPr>
        <w:tc>
          <w:tcPr>
            <w:tcW w:w="4673" w:type="dxa"/>
          </w:tcPr>
          <w:p w14:paraId="532A1A92" w14:textId="77777777" w:rsidR="00CC19EC" w:rsidRPr="007A6283" w:rsidRDefault="00CC19EC" w:rsidP="001D7292">
            <w:pPr>
              <w:pStyle w:val="06TertiaryHead"/>
              <w:jc w:val="both"/>
              <w:rPr>
                <w:rFonts w:asciiTheme="minorHAnsi" w:hAnsiTheme="minorHAnsi" w:cstheme="minorBidi"/>
                <w:b w:val="0"/>
              </w:rPr>
            </w:pPr>
            <w:r w:rsidRPr="5FAD7932">
              <w:rPr>
                <w:rFonts w:asciiTheme="minorHAnsi" w:hAnsiTheme="minorHAnsi" w:cstheme="minorBidi"/>
                <w:b w:val="0"/>
              </w:rPr>
              <w:lastRenderedPageBreak/>
              <w:t xml:space="preserve">Updates to the SFDR annexes of the above listed funds to reflect the below changes. </w:t>
            </w:r>
          </w:p>
          <w:p w14:paraId="114A2A09" w14:textId="77777777" w:rsidR="00CC19EC" w:rsidRPr="00E95CD8" w:rsidRDefault="00CC19EC" w:rsidP="00CC19EC">
            <w:pPr>
              <w:pStyle w:val="06TertiaryHead"/>
              <w:numPr>
                <w:ilvl w:val="0"/>
                <w:numId w:val="19"/>
              </w:numPr>
              <w:jc w:val="both"/>
              <w:rPr>
                <w:rFonts w:asciiTheme="minorHAnsi" w:hAnsiTheme="minorHAnsi" w:cstheme="minorHAnsi"/>
                <w:b w:val="0"/>
                <w:bCs w:val="0"/>
              </w:rPr>
            </w:pPr>
            <w:r w:rsidRPr="00E95CD8">
              <w:rPr>
                <w:rFonts w:asciiTheme="minorHAnsi" w:hAnsiTheme="minorHAnsi" w:cstheme="minorHAnsi"/>
                <w:b w:val="0"/>
                <w:bCs w:val="0"/>
              </w:rPr>
              <w:t>Language to reflect new TGI ratings systems. Moving from numbers to letters.​</w:t>
            </w:r>
          </w:p>
          <w:p w14:paraId="653B4A53" w14:textId="77777777" w:rsidR="00CC19EC" w:rsidRPr="00E95CD8" w:rsidRDefault="00CC19EC" w:rsidP="00CC19EC">
            <w:pPr>
              <w:pStyle w:val="06TertiaryHead"/>
              <w:numPr>
                <w:ilvl w:val="0"/>
                <w:numId w:val="19"/>
              </w:numPr>
              <w:jc w:val="both"/>
              <w:rPr>
                <w:rFonts w:asciiTheme="minorHAnsi" w:hAnsiTheme="minorHAnsi" w:cstheme="minorBidi"/>
                <w:b w:val="0"/>
              </w:rPr>
            </w:pPr>
            <w:r w:rsidRPr="5FAD7932">
              <w:rPr>
                <w:rFonts w:asciiTheme="minorHAnsi" w:hAnsiTheme="minorHAnsi" w:cstheme="minorBidi"/>
                <w:b w:val="0"/>
              </w:rPr>
              <w:t>Remove the binding commitment to exclude the bottom 20% the Investment Universe</w:t>
            </w:r>
            <w:r>
              <w:rPr>
                <w:rFonts w:asciiTheme="minorHAnsi" w:hAnsiTheme="minorHAnsi" w:cstheme="minorBidi"/>
                <w:b w:val="0"/>
              </w:rPr>
              <w:t xml:space="preserve"> </w:t>
            </w:r>
            <w:r w:rsidRPr="5FAD7932">
              <w:rPr>
                <w:rFonts w:asciiTheme="minorHAnsi" w:hAnsiTheme="minorHAnsi" w:cstheme="minorBidi"/>
                <w:b w:val="0"/>
              </w:rPr>
              <w:t>based on ESG score using the MSCI ESG rating methodology.  ​</w:t>
            </w:r>
          </w:p>
          <w:p w14:paraId="2E9F2EB1" w14:textId="77777777" w:rsidR="00CC19EC" w:rsidRPr="00E95CD8" w:rsidRDefault="00CC19EC" w:rsidP="00CC19EC">
            <w:pPr>
              <w:pStyle w:val="06TertiaryHead"/>
              <w:numPr>
                <w:ilvl w:val="0"/>
                <w:numId w:val="19"/>
              </w:numPr>
              <w:jc w:val="both"/>
              <w:rPr>
                <w:rFonts w:asciiTheme="minorHAnsi" w:hAnsiTheme="minorHAnsi" w:cstheme="minorHAnsi"/>
                <w:b w:val="0"/>
                <w:bCs w:val="0"/>
              </w:rPr>
            </w:pPr>
            <w:r w:rsidRPr="00E95CD8">
              <w:rPr>
                <w:rFonts w:asciiTheme="minorHAnsi" w:hAnsiTheme="minorHAnsi" w:cstheme="minorHAnsi"/>
                <w:b w:val="0"/>
                <w:bCs w:val="0"/>
              </w:rPr>
              <w:t>Remove the nuclear weapons exclusion.</w:t>
            </w:r>
          </w:p>
          <w:p w14:paraId="2BCEFC4B" w14:textId="77777777" w:rsidR="00CC19EC" w:rsidRPr="00E95CD8" w:rsidRDefault="00CC19EC" w:rsidP="00CC19EC">
            <w:pPr>
              <w:pStyle w:val="06TertiaryHead"/>
              <w:numPr>
                <w:ilvl w:val="0"/>
                <w:numId w:val="19"/>
              </w:numPr>
              <w:jc w:val="both"/>
              <w:rPr>
                <w:rFonts w:asciiTheme="minorHAnsi" w:hAnsiTheme="minorHAnsi" w:cstheme="minorHAnsi"/>
                <w:b w:val="0"/>
                <w:bCs w:val="0"/>
              </w:rPr>
            </w:pPr>
            <w:r w:rsidRPr="00E95CD8">
              <w:rPr>
                <w:rFonts w:asciiTheme="minorHAnsi" w:hAnsiTheme="minorHAnsi" w:cstheme="minorHAnsi"/>
                <w:b w:val="0"/>
                <w:bCs w:val="0"/>
              </w:rPr>
              <w:t>Remove the following sustainability indicators: percentage of companies providing employee satisfaction surveys and material non-compensation benefits. ​</w:t>
            </w:r>
          </w:p>
          <w:p w14:paraId="3EB1815E" w14:textId="77777777" w:rsidR="00CC19EC" w:rsidRPr="007A4CC0" w:rsidRDefault="00CC19EC" w:rsidP="00CC19EC">
            <w:pPr>
              <w:pStyle w:val="06TertiaryHead"/>
              <w:numPr>
                <w:ilvl w:val="0"/>
                <w:numId w:val="19"/>
              </w:numPr>
              <w:jc w:val="both"/>
              <w:rPr>
                <w:rFonts w:asciiTheme="minorHAnsi" w:hAnsiTheme="minorHAnsi" w:cstheme="minorBidi"/>
                <w:b w:val="0"/>
              </w:rPr>
            </w:pPr>
            <w:r w:rsidRPr="5FAD7932">
              <w:rPr>
                <w:rFonts w:asciiTheme="minorHAnsi" w:hAnsiTheme="minorHAnsi" w:cstheme="minorBidi"/>
                <w:b w:val="0"/>
              </w:rPr>
              <w:t>Reduce minimum for Environmental and Social sustainable investments from 15% to 5%, while maintaining overall 50% minimum.</w:t>
            </w:r>
          </w:p>
        </w:tc>
        <w:tc>
          <w:tcPr>
            <w:tcW w:w="5812" w:type="dxa"/>
          </w:tcPr>
          <w:p w14:paraId="3ABCCEDC" w14:textId="77777777" w:rsidR="00CC19EC" w:rsidRDefault="00CC19EC" w:rsidP="00CC19EC">
            <w:pPr>
              <w:pStyle w:val="06TertiaryHead"/>
              <w:numPr>
                <w:ilvl w:val="0"/>
                <w:numId w:val="19"/>
              </w:numPr>
              <w:jc w:val="both"/>
              <w:rPr>
                <w:rFonts w:asciiTheme="minorHAnsi" w:hAnsiTheme="minorHAnsi" w:cstheme="minorHAnsi"/>
                <w:b w:val="0"/>
                <w:bCs w:val="0"/>
              </w:rPr>
            </w:pPr>
            <w:r w:rsidRPr="00832C84">
              <w:rPr>
                <w:rFonts w:asciiTheme="minorHAnsi" w:hAnsiTheme="minorHAnsi" w:cstheme="minorHAnsi"/>
                <w:b w:val="0"/>
                <w:bCs w:val="0"/>
              </w:rPr>
              <w:t>TGI research consolidation into single rating system​</w:t>
            </w:r>
            <w:r>
              <w:rPr>
                <w:rFonts w:asciiTheme="minorHAnsi" w:hAnsiTheme="minorHAnsi" w:cstheme="minorHAnsi"/>
                <w:b w:val="0"/>
                <w:bCs w:val="0"/>
              </w:rPr>
              <w:t>:</w:t>
            </w:r>
          </w:p>
          <w:p w14:paraId="7858B459" w14:textId="77777777" w:rsidR="00CC19EC" w:rsidRPr="00486B30" w:rsidRDefault="00CC19EC" w:rsidP="00CC19EC">
            <w:pPr>
              <w:pStyle w:val="06TertiaryHead"/>
              <w:numPr>
                <w:ilvl w:val="1"/>
                <w:numId w:val="19"/>
              </w:numPr>
              <w:jc w:val="both"/>
              <w:rPr>
                <w:rFonts w:asciiTheme="minorHAnsi" w:hAnsiTheme="minorHAnsi" w:cstheme="minorHAnsi"/>
                <w:b w:val="0"/>
                <w:bCs w:val="0"/>
              </w:rPr>
            </w:pPr>
            <w:r w:rsidRPr="00486B30">
              <w:rPr>
                <w:rFonts w:asciiTheme="minorHAnsi" w:hAnsiTheme="minorHAnsi" w:cstheme="minorBidi"/>
                <w:b w:val="0"/>
              </w:rPr>
              <w:t>Templeton Global Investments (TGI) has consolidated its global equity research capabilities, bringing together the legacy FTEME and TGEG investment teams.</w:t>
            </w:r>
          </w:p>
          <w:p w14:paraId="7E0B9FC8" w14:textId="77777777" w:rsidR="00CC19EC" w:rsidRPr="00486B30" w:rsidRDefault="00CC19EC" w:rsidP="00CC19EC">
            <w:pPr>
              <w:pStyle w:val="06TertiaryHead"/>
              <w:numPr>
                <w:ilvl w:val="1"/>
                <w:numId w:val="19"/>
              </w:numPr>
              <w:jc w:val="both"/>
              <w:rPr>
                <w:rFonts w:asciiTheme="minorHAnsi" w:hAnsiTheme="minorHAnsi" w:cstheme="minorHAnsi"/>
                <w:b w:val="0"/>
                <w:bCs w:val="0"/>
              </w:rPr>
            </w:pPr>
            <w:r w:rsidRPr="00486B30">
              <w:rPr>
                <w:rFonts w:asciiTheme="minorHAnsi" w:hAnsiTheme="minorHAnsi" w:cstheme="minorBidi"/>
                <w:b w:val="0"/>
              </w:rPr>
              <w:t>As part of this alignment, a unified ESG rating framework has been introduced to ensure consistency of analysis, comparability of ratings, and a harmonised approach across TGI.</w:t>
            </w:r>
          </w:p>
          <w:p w14:paraId="1EFDB9C3" w14:textId="77777777" w:rsidR="00CC19EC" w:rsidRPr="00486B30" w:rsidRDefault="00CC19EC" w:rsidP="00CC19EC">
            <w:pPr>
              <w:pStyle w:val="06TertiaryHead"/>
              <w:numPr>
                <w:ilvl w:val="1"/>
                <w:numId w:val="19"/>
              </w:numPr>
              <w:jc w:val="both"/>
              <w:rPr>
                <w:rFonts w:asciiTheme="minorHAnsi" w:hAnsiTheme="minorHAnsi" w:cstheme="minorHAnsi"/>
                <w:b w:val="0"/>
                <w:bCs w:val="0"/>
              </w:rPr>
            </w:pPr>
            <w:r w:rsidRPr="00486B30">
              <w:rPr>
                <w:rFonts w:asciiTheme="minorHAnsi" w:hAnsiTheme="minorHAnsi" w:cstheme="minorBidi"/>
                <w:b w:val="0"/>
              </w:rPr>
              <w:t>Across the TGI Article 8, investee companies are assessed using the Investment Manager’s proprietary ESG methodology and assigned ratings of A (Excellent), B (Good), C (Adequate) or D (Poor). The Article 9 funds have also been adjusted where applicable.</w:t>
            </w:r>
          </w:p>
          <w:p w14:paraId="06CC3C4B" w14:textId="77777777" w:rsidR="00CC19EC" w:rsidRDefault="00CC19EC" w:rsidP="001D7292">
            <w:pPr>
              <w:pStyle w:val="06TertiaryHead"/>
              <w:ind w:left="720"/>
              <w:jc w:val="both"/>
              <w:rPr>
                <w:rFonts w:asciiTheme="minorHAnsi" w:hAnsiTheme="minorHAnsi" w:cstheme="minorHAnsi"/>
                <w:b w:val="0"/>
                <w:bCs w:val="0"/>
              </w:rPr>
            </w:pPr>
          </w:p>
          <w:p w14:paraId="6431C38A" w14:textId="77777777" w:rsidR="00CC19EC" w:rsidRDefault="00CC19EC" w:rsidP="00CC19EC">
            <w:pPr>
              <w:pStyle w:val="06TertiaryHead"/>
              <w:numPr>
                <w:ilvl w:val="0"/>
                <w:numId w:val="19"/>
              </w:numPr>
              <w:jc w:val="both"/>
              <w:rPr>
                <w:rFonts w:asciiTheme="minorHAnsi" w:hAnsiTheme="minorHAnsi" w:cstheme="minorHAnsi"/>
                <w:b w:val="0"/>
                <w:bCs w:val="0"/>
              </w:rPr>
            </w:pPr>
            <w:r w:rsidRPr="00832C84">
              <w:rPr>
                <w:rFonts w:asciiTheme="minorHAnsi" w:hAnsiTheme="minorHAnsi" w:cstheme="minorHAnsi"/>
                <w:b w:val="0"/>
                <w:bCs w:val="0"/>
              </w:rPr>
              <w:t xml:space="preserve">The </w:t>
            </w:r>
            <w:r>
              <w:rPr>
                <w:rFonts w:asciiTheme="minorHAnsi" w:hAnsiTheme="minorHAnsi" w:cstheme="minorHAnsi"/>
                <w:b w:val="0"/>
                <w:bCs w:val="0"/>
              </w:rPr>
              <w:t>commitment to exclude the bottom 20% of the Investment Universe based</w:t>
            </w:r>
            <w:r w:rsidRPr="00832C84">
              <w:rPr>
                <w:rFonts w:asciiTheme="minorHAnsi" w:hAnsiTheme="minorHAnsi" w:cstheme="minorHAnsi"/>
                <w:b w:val="0"/>
                <w:bCs w:val="0"/>
              </w:rPr>
              <w:t xml:space="preserve"> is no longer consistent with how the fund is being managed and positioned, as this is not a sustainability-focused strategy, and has forced the PM to pass on some investments he otherwise would have made as intended in this high conviction, more concentrated strategy. The only other TGI fund with a universe reduction policy is the Global Climate Change Fund, which is art.9 and positioned as a sustainability-focused fund, unlike Templeton Global Fund.​</w:t>
            </w:r>
          </w:p>
          <w:p w14:paraId="64276B1C" w14:textId="77777777" w:rsidR="00CC19EC" w:rsidRDefault="00CC19EC" w:rsidP="00CC19EC">
            <w:pPr>
              <w:pStyle w:val="06TertiaryHead"/>
              <w:numPr>
                <w:ilvl w:val="0"/>
                <w:numId w:val="19"/>
              </w:numPr>
              <w:jc w:val="both"/>
              <w:rPr>
                <w:rFonts w:asciiTheme="minorHAnsi" w:hAnsiTheme="minorHAnsi" w:cstheme="minorHAnsi"/>
                <w:b w:val="0"/>
                <w:bCs w:val="0"/>
              </w:rPr>
            </w:pPr>
            <w:r w:rsidRPr="00832C84">
              <w:rPr>
                <w:rFonts w:asciiTheme="minorHAnsi" w:hAnsiTheme="minorHAnsi" w:cstheme="minorHAnsi"/>
                <w:b w:val="0"/>
                <w:bCs w:val="0"/>
              </w:rPr>
              <w:t xml:space="preserve">The </w:t>
            </w:r>
            <w:r>
              <w:rPr>
                <w:rFonts w:asciiTheme="minorHAnsi" w:hAnsiTheme="minorHAnsi" w:cstheme="minorHAnsi"/>
                <w:b w:val="0"/>
                <w:bCs w:val="0"/>
              </w:rPr>
              <w:t xml:space="preserve">nuclear weapons </w:t>
            </w:r>
            <w:r w:rsidRPr="00832C84">
              <w:rPr>
                <w:rFonts w:asciiTheme="minorHAnsi" w:hAnsiTheme="minorHAnsi" w:cstheme="minorHAnsi"/>
                <w:b w:val="0"/>
                <w:bCs w:val="0"/>
              </w:rPr>
              <w:t>exclusion is no longer consistent with how the fund is being managed and positioned, as this is not a sustainability-focused strategy, and has forced the PM to pass on some investments he otherwise would have made as intended in this high conviction, more concentrated strategy. The only other TGI fund with a nuclear weapons exclusion policy is the Global Climate Change Fund, which is art.9 and positioned as a sustainability-focused fund, unlike Templeton Global Fund.</w:t>
            </w:r>
            <w:r>
              <w:rPr>
                <w:rFonts w:asciiTheme="minorHAnsi" w:hAnsiTheme="minorHAnsi" w:cstheme="minorHAnsi"/>
                <w:b w:val="0"/>
                <w:bCs w:val="0"/>
              </w:rPr>
              <w:t xml:space="preserve"> The </w:t>
            </w:r>
            <w:r w:rsidRPr="00EC474C">
              <w:rPr>
                <w:rFonts w:asciiTheme="minorHAnsi" w:hAnsiTheme="minorHAnsi" w:cstheme="minorHAnsi"/>
                <w:b w:val="0"/>
                <w:bCs w:val="0"/>
              </w:rPr>
              <w:t>Fund intends to invest in aerospace and defence companies with very small exposure to nuclear weapons, such as Airbus. It has a JV that is involved in the development and maintenance of nuclear missiles.​</w:t>
            </w:r>
          </w:p>
          <w:p w14:paraId="5744F32D" w14:textId="77777777" w:rsidR="00CC19EC" w:rsidRDefault="00CC19EC" w:rsidP="00CC19EC">
            <w:pPr>
              <w:pStyle w:val="06TertiaryHead"/>
              <w:numPr>
                <w:ilvl w:val="0"/>
                <w:numId w:val="19"/>
              </w:numPr>
              <w:jc w:val="both"/>
              <w:rPr>
                <w:rFonts w:asciiTheme="minorHAnsi" w:hAnsiTheme="minorHAnsi" w:cstheme="minorBidi"/>
                <w:b w:val="0"/>
              </w:rPr>
            </w:pPr>
            <w:r w:rsidRPr="5FAD7932">
              <w:rPr>
                <w:rFonts w:asciiTheme="minorHAnsi" w:hAnsiTheme="minorHAnsi" w:cstheme="minorBidi"/>
                <w:b w:val="0"/>
              </w:rPr>
              <w:t xml:space="preserve">The employee satisfaction surveys and material non-compensation benefit KPIs are no longer maintained </w:t>
            </w:r>
            <w:r w:rsidRPr="5FAD7932">
              <w:rPr>
                <w:rFonts w:asciiTheme="minorHAnsi" w:hAnsiTheme="minorHAnsi" w:cstheme="minorBidi"/>
                <w:b w:val="0"/>
              </w:rPr>
              <w:lastRenderedPageBreak/>
              <w:t>consistently and reliably by MSCI. The KPIs are also no longer consistent with how the fund is being managed and positioned, as noted above. ​</w:t>
            </w:r>
          </w:p>
          <w:p w14:paraId="0B31F5AB" w14:textId="77777777" w:rsidR="00CC19EC" w:rsidRPr="00832C84" w:rsidRDefault="00CC19EC" w:rsidP="00CC19EC">
            <w:pPr>
              <w:pStyle w:val="06TertiaryHead"/>
              <w:numPr>
                <w:ilvl w:val="0"/>
                <w:numId w:val="19"/>
              </w:numPr>
              <w:jc w:val="both"/>
              <w:rPr>
                <w:rFonts w:asciiTheme="minorHAnsi" w:hAnsiTheme="minorHAnsi" w:cstheme="minorBidi"/>
                <w:b w:val="0"/>
              </w:rPr>
            </w:pPr>
            <w:r w:rsidRPr="5FAD7932">
              <w:rPr>
                <w:rFonts w:asciiTheme="minorHAnsi" w:hAnsiTheme="minorHAnsi" w:cstheme="minorBidi"/>
                <w:b w:val="0"/>
              </w:rPr>
              <w:t>Reducing the minimum for Environmental and Social sustainable investments to 5%, while maintaining an overall 50% minimum SI increases flexibility in how the sustainable investments are allocated, which fits better with the portfolio’s increased concentration.</w:t>
            </w:r>
          </w:p>
        </w:tc>
      </w:tr>
    </w:tbl>
    <w:p w14:paraId="0145ECF7" w14:textId="77777777" w:rsidR="00CC19EC" w:rsidRDefault="00CC19EC" w:rsidP="00CC19EC">
      <w:pPr>
        <w:ind w:left="0"/>
        <w:rPr>
          <w:rFonts w:cs="Arial"/>
          <w:szCs w:val="22"/>
        </w:rPr>
      </w:pPr>
    </w:p>
    <w:tbl>
      <w:tblPr>
        <w:tblStyle w:val="TableGrid"/>
        <w:tblW w:w="10485" w:type="dxa"/>
        <w:tblLook w:val="04A0" w:firstRow="1" w:lastRow="0" w:firstColumn="1" w:lastColumn="0" w:noHBand="0" w:noVBand="1"/>
      </w:tblPr>
      <w:tblGrid>
        <w:gridCol w:w="4673"/>
        <w:gridCol w:w="5812"/>
      </w:tblGrid>
      <w:tr w:rsidR="00CC19EC" w:rsidRPr="00A61FB5" w14:paraId="5256494D" w14:textId="77777777" w:rsidTr="0051564B">
        <w:trPr>
          <w:trHeight w:val="338"/>
        </w:trPr>
        <w:tc>
          <w:tcPr>
            <w:tcW w:w="10485" w:type="dxa"/>
            <w:gridSpan w:val="2"/>
            <w:shd w:val="clear" w:color="auto" w:fill="97BCFF" w:themeFill="accent4" w:themeFillTint="99"/>
            <w:vAlign w:val="center"/>
          </w:tcPr>
          <w:p w14:paraId="72A06DBC" w14:textId="77777777" w:rsidR="00CC19EC"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Funds: </w:t>
            </w:r>
          </w:p>
          <w:p w14:paraId="0F9EB35F" w14:textId="77777777" w:rsidR="00CC19EC" w:rsidRPr="0094299B"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FTIF </w:t>
            </w:r>
            <w:r w:rsidRPr="0094299B">
              <w:rPr>
                <w:rFonts w:asciiTheme="minorHAnsi" w:hAnsiTheme="minorHAnsi" w:cstheme="minorHAnsi"/>
              </w:rPr>
              <w:t>Franklin Euro Government Bond Fund</w:t>
            </w:r>
          </w:p>
          <w:p w14:paraId="5653FC15" w14:textId="77777777" w:rsidR="00CC19EC" w:rsidRPr="0094299B"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FTIF </w:t>
            </w:r>
            <w:r w:rsidRPr="0094299B">
              <w:rPr>
                <w:rFonts w:asciiTheme="minorHAnsi" w:hAnsiTheme="minorHAnsi" w:cstheme="minorHAnsi"/>
              </w:rPr>
              <w:t>Franklin Euro Short Duration Bond Fund</w:t>
            </w:r>
          </w:p>
          <w:p w14:paraId="6EFA90C9" w14:textId="77777777" w:rsidR="00CC19EC" w:rsidRPr="0094299B"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FTIF </w:t>
            </w:r>
            <w:r w:rsidRPr="0094299B">
              <w:rPr>
                <w:rFonts w:asciiTheme="minorHAnsi" w:hAnsiTheme="minorHAnsi" w:cstheme="minorHAnsi"/>
              </w:rPr>
              <w:t>Franklin European Total Return Fund</w:t>
            </w:r>
          </w:p>
          <w:p w14:paraId="1D916316" w14:textId="77777777" w:rsidR="00CC19EC" w:rsidRPr="0094299B"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FTIF </w:t>
            </w:r>
            <w:r w:rsidRPr="0094299B">
              <w:rPr>
                <w:rFonts w:asciiTheme="minorHAnsi" w:hAnsiTheme="minorHAnsi" w:cstheme="minorHAnsi"/>
              </w:rPr>
              <w:t>Franklin European Corporate Bond Fund</w:t>
            </w:r>
          </w:p>
          <w:p w14:paraId="6D930467" w14:textId="77777777" w:rsidR="00CC19EC" w:rsidRPr="0094299B"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FTIF </w:t>
            </w:r>
            <w:r w:rsidRPr="0094299B">
              <w:rPr>
                <w:rFonts w:asciiTheme="minorHAnsi" w:hAnsiTheme="minorHAnsi" w:cstheme="minorHAnsi"/>
              </w:rPr>
              <w:t>Franklin Euro High Yield Fund</w:t>
            </w:r>
          </w:p>
          <w:p w14:paraId="3C1CD336" w14:textId="77777777" w:rsidR="00CC19EC" w:rsidRPr="0094299B"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FTIF </w:t>
            </w:r>
            <w:r w:rsidRPr="0094299B">
              <w:rPr>
                <w:rFonts w:asciiTheme="minorHAnsi" w:hAnsiTheme="minorHAnsi" w:cstheme="minorHAnsi"/>
              </w:rPr>
              <w:t>Franklin Emerging Market Corporate Debt Fund</w:t>
            </w:r>
          </w:p>
          <w:p w14:paraId="38DF98C2" w14:textId="77777777" w:rsidR="00CC19EC" w:rsidRPr="0094299B"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FTIF </w:t>
            </w:r>
            <w:r w:rsidRPr="0094299B">
              <w:rPr>
                <w:rFonts w:asciiTheme="minorHAnsi" w:hAnsiTheme="minorHAnsi" w:cstheme="minorHAnsi"/>
              </w:rPr>
              <w:t>Franklin Global Corporate Investment Grade Bond Fun</w:t>
            </w:r>
            <w:r>
              <w:rPr>
                <w:rFonts w:asciiTheme="minorHAnsi" w:hAnsiTheme="minorHAnsi" w:cstheme="minorHAnsi"/>
              </w:rPr>
              <w:t>d</w:t>
            </w:r>
          </w:p>
          <w:p w14:paraId="74F411A8" w14:textId="77777777" w:rsidR="00CC19EC" w:rsidRPr="00883697"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FTIF </w:t>
            </w:r>
            <w:r w:rsidRPr="0094299B">
              <w:rPr>
                <w:rFonts w:asciiTheme="minorHAnsi" w:hAnsiTheme="minorHAnsi" w:cstheme="minorHAnsi"/>
              </w:rPr>
              <w:t>Franklin Global Sustainable Bond Fund</w:t>
            </w:r>
          </w:p>
        </w:tc>
      </w:tr>
      <w:tr w:rsidR="00CC19EC" w:rsidRPr="00A61FB5" w14:paraId="60DD1690" w14:textId="77777777" w:rsidTr="0051564B">
        <w:trPr>
          <w:trHeight w:val="338"/>
        </w:trPr>
        <w:tc>
          <w:tcPr>
            <w:tcW w:w="10485" w:type="dxa"/>
            <w:gridSpan w:val="2"/>
            <w:shd w:val="clear" w:color="auto" w:fill="DCE8FF" w:themeFill="accent4" w:themeFillTint="33"/>
            <w:vAlign w:val="center"/>
          </w:tcPr>
          <w:p w14:paraId="5346DEC5" w14:textId="77777777" w:rsidR="00CC19EC" w:rsidRDefault="00CC19EC" w:rsidP="001D7292">
            <w:pPr>
              <w:pStyle w:val="06TertiaryHead"/>
              <w:spacing w:before="0"/>
              <w:jc w:val="both"/>
              <w:rPr>
                <w:rFonts w:asciiTheme="minorHAnsi" w:hAnsiTheme="minorHAnsi" w:cstheme="minorHAnsi"/>
              </w:rPr>
            </w:pPr>
            <w:r>
              <w:rPr>
                <w:rFonts w:asciiTheme="minorHAnsi" w:hAnsiTheme="minorHAnsi" w:cstheme="minorHAnsi"/>
              </w:rPr>
              <w:t xml:space="preserve">Summary of Changes: </w:t>
            </w:r>
            <w:r w:rsidRPr="008B5945">
              <w:rPr>
                <w:rFonts w:asciiTheme="minorHAnsi" w:hAnsiTheme="minorHAnsi" w:cstheme="minorHAnsi"/>
                <w:b w:val="0"/>
                <w:bCs w:val="0"/>
              </w:rPr>
              <w:t>Updates to the SFDR annexes/Pre-Contractual Disclosures (PCDs) of the above Fixed Income funds</w:t>
            </w:r>
            <w:r>
              <w:rPr>
                <w:rFonts w:asciiTheme="minorHAnsi" w:hAnsiTheme="minorHAnsi" w:cstheme="minorHAnsi"/>
              </w:rPr>
              <w:t xml:space="preserve"> </w:t>
            </w:r>
          </w:p>
        </w:tc>
      </w:tr>
      <w:tr w:rsidR="00CC19EC" w:rsidRPr="00A61FB5" w14:paraId="2EB35511" w14:textId="77777777" w:rsidTr="0051564B">
        <w:trPr>
          <w:trHeight w:val="346"/>
        </w:trPr>
        <w:tc>
          <w:tcPr>
            <w:tcW w:w="4673" w:type="dxa"/>
            <w:shd w:val="clear" w:color="auto" w:fill="E5E5E5" w:themeFill="accent5" w:themeFillTint="66"/>
            <w:vAlign w:val="center"/>
          </w:tcPr>
          <w:p w14:paraId="1CB77AD7" w14:textId="77777777" w:rsidR="00CC19EC" w:rsidRPr="00A61FB5" w:rsidRDefault="00CC19EC" w:rsidP="001D7292">
            <w:pPr>
              <w:pStyle w:val="06TertiaryHead"/>
              <w:jc w:val="center"/>
              <w:rPr>
                <w:rFonts w:asciiTheme="minorHAnsi" w:hAnsiTheme="minorHAnsi" w:cstheme="minorHAnsi"/>
              </w:rPr>
            </w:pPr>
            <w:r w:rsidRPr="00A61FB5">
              <w:rPr>
                <w:rFonts w:asciiTheme="minorHAnsi" w:hAnsiTheme="minorHAnsi" w:cstheme="minorHAnsi"/>
              </w:rPr>
              <w:t>Propos</w:t>
            </w:r>
            <w:r>
              <w:rPr>
                <w:rFonts w:asciiTheme="minorHAnsi" w:hAnsiTheme="minorHAnsi" w:cstheme="minorHAnsi"/>
              </w:rPr>
              <w:t>ed Changes</w:t>
            </w:r>
          </w:p>
        </w:tc>
        <w:tc>
          <w:tcPr>
            <w:tcW w:w="5812" w:type="dxa"/>
            <w:shd w:val="clear" w:color="auto" w:fill="E5E5E5" w:themeFill="accent5" w:themeFillTint="66"/>
            <w:vAlign w:val="center"/>
          </w:tcPr>
          <w:p w14:paraId="45F04C7E" w14:textId="77777777" w:rsidR="00CC19EC" w:rsidRPr="00A61FB5" w:rsidRDefault="00CC19EC" w:rsidP="001D7292">
            <w:pPr>
              <w:pStyle w:val="06TertiaryHead"/>
              <w:jc w:val="center"/>
              <w:rPr>
                <w:rFonts w:asciiTheme="minorHAnsi" w:hAnsiTheme="minorHAnsi" w:cstheme="minorHAnsi"/>
              </w:rPr>
            </w:pPr>
            <w:r w:rsidRPr="00A61FB5">
              <w:rPr>
                <w:rFonts w:asciiTheme="minorHAnsi" w:hAnsiTheme="minorHAnsi" w:cstheme="minorHAnsi"/>
              </w:rPr>
              <w:t>Rationale</w:t>
            </w:r>
          </w:p>
        </w:tc>
      </w:tr>
      <w:tr w:rsidR="00CC19EC" w:rsidRPr="00A61FB5" w14:paraId="5057DDB0" w14:textId="77777777" w:rsidTr="0051564B">
        <w:trPr>
          <w:trHeight w:val="620"/>
        </w:trPr>
        <w:tc>
          <w:tcPr>
            <w:tcW w:w="4673" w:type="dxa"/>
          </w:tcPr>
          <w:p w14:paraId="30D3381B" w14:textId="77777777" w:rsidR="00CC19EC" w:rsidRDefault="00CC19EC" w:rsidP="001D7292">
            <w:pPr>
              <w:pStyle w:val="06TertiaryHead"/>
              <w:jc w:val="both"/>
              <w:rPr>
                <w:rFonts w:asciiTheme="minorHAnsi" w:hAnsiTheme="minorHAnsi" w:cstheme="minorHAnsi"/>
                <w:b w:val="0"/>
                <w:bCs w:val="0"/>
              </w:rPr>
            </w:pPr>
            <w:r w:rsidRPr="001D3A91">
              <w:rPr>
                <w:rFonts w:asciiTheme="minorHAnsi" w:hAnsiTheme="minorHAnsi" w:cstheme="minorHAnsi"/>
                <w:b w:val="0"/>
                <w:bCs w:val="0"/>
              </w:rPr>
              <w:t>Various updates made throughout the PCDs to ensure consistency through PCDs and across the Fixed Income Article 8 and 9 Funds. Some updates have been made to provide additional clarification, for example, wording to clarify that there is no minimum Environmental or Social safeguards with respect to cash, other liquid assets and derivatives.</w:t>
            </w:r>
          </w:p>
          <w:p w14:paraId="321C2FDD" w14:textId="77777777" w:rsidR="00CC19EC" w:rsidRDefault="00CC19EC" w:rsidP="001D7292">
            <w:pPr>
              <w:pStyle w:val="06TertiaryHead"/>
              <w:jc w:val="both"/>
              <w:rPr>
                <w:rFonts w:asciiTheme="minorHAnsi" w:hAnsiTheme="minorHAnsi" w:cstheme="minorHAnsi"/>
                <w:b w:val="0"/>
                <w:bCs w:val="0"/>
              </w:rPr>
            </w:pPr>
            <w:r>
              <w:rPr>
                <w:rFonts w:asciiTheme="minorHAnsi" w:hAnsiTheme="minorHAnsi" w:cstheme="minorHAnsi"/>
                <w:b w:val="0"/>
                <w:bCs w:val="0"/>
              </w:rPr>
              <w:t>Examples of some of the changes made:</w:t>
            </w:r>
          </w:p>
          <w:p w14:paraId="7E64F2C5" w14:textId="77777777" w:rsidR="00CC19EC" w:rsidRPr="00E37265" w:rsidRDefault="00CC19EC" w:rsidP="00CC19EC">
            <w:pPr>
              <w:pStyle w:val="06TertiaryHead"/>
              <w:numPr>
                <w:ilvl w:val="0"/>
                <w:numId w:val="24"/>
              </w:numPr>
              <w:jc w:val="both"/>
              <w:rPr>
                <w:rFonts w:asciiTheme="minorHAnsi" w:hAnsiTheme="minorHAnsi" w:cstheme="minorHAnsi"/>
                <w:b w:val="0"/>
                <w:bCs w:val="0"/>
              </w:rPr>
            </w:pPr>
            <w:r w:rsidRPr="00E37265">
              <w:rPr>
                <w:b w:val="0"/>
                <w:bCs w:val="0"/>
              </w:rPr>
              <w:t>Removal of ‘For the purposes of calculating taxonomy alignment, investments in nuclear energy and natural gas shall not be considered sustainable.'</w:t>
            </w:r>
          </w:p>
          <w:p w14:paraId="01C26655" w14:textId="77777777" w:rsidR="00CC19EC" w:rsidRPr="00E37265" w:rsidRDefault="00CC19EC" w:rsidP="001D7292">
            <w:pPr>
              <w:pStyle w:val="06TertiaryHead"/>
              <w:ind w:left="360"/>
              <w:jc w:val="both"/>
              <w:rPr>
                <w:rFonts w:asciiTheme="minorHAnsi" w:hAnsiTheme="minorHAnsi" w:cstheme="minorHAnsi"/>
                <w:b w:val="0"/>
                <w:bCs w:val="0"/>
              </w:rPr>
            </w:pPr>
            <w:r>
              <w:rPr>
                <w:rFonts w:asciiTheme="minorHAnsi" w:hAnsiTheme="minorHAnsi" w:cstheme="minorHAnsi"/>
                <w:b w:val="0"/>
                <w:bCs w:val="0"/>
              </w:rPr>
              <w:t xml:space="preserve">Funds impacted by this change: </w:t>
            </w:r>
            <w:r w:rsidRPr="007226B3">
              <w:rPr>
                <w:b w:val="0"/>
                <w:bCs w:val="0"/>
              </w:rPr>
              <w:t>Franklin European Total Return Fund, Franklin Euro High Yield Fund, Franklin Euro Short Duration Bond Fund, Franklin European Corporate Bond Fund, Franklin Global Corporate Investment Grade Bond Fund, Franklin Global Sustainable Bond Fund.</w:t>
            </w:r>
          </w:p>
          <w:p w14:paraId="19DC7A9C" w14:textId="77777777" w:rsidR="00CC19EC" w:rsidRDefault="00CC19EC" w:rsidP="001D7292">
            <w:pPr>
              <w:pStyle w:val="06TertiaryHead"/>
              <w:jc w:val="both"/>
              <w:rPr>
                <w:rFonts w:asciiTheme="minorHAnsi" w:hAnsiTheme="minorHAnsi" w:cstheme="minorHAnsi"/>
                <w:b w:val="0"/>
                <w:bCs w:val="0"/>
              </w:rPr>
            </w:pPr>
          </w:p>
          <w:p w14:paraId="3A588133" w14:textId="77777777" w:rsidR="00CC19EC" w:rsidRPr="002064ED" w:rsidRDefault="00CC19EC" w:rsidP="00CC19EC">
            <w:pPr>
              <w:pStyle w:val="06TertiaryHead"/>
              <w:numPr>
                <w:ilvl w:val="0"/>
                <w:numId w:val="24"/>
              </w:numPr>
              <w:jc w:val="both"/>
              <w:rPr>
                <w:b w:val="0"/>
              </w:rPr>
            </w:pPr>
            <w:r w:rsidRPr="007226B3">
              <w:rPr>
                <w:b w:val="0"/>
                <w:bCs w:val="0"/>
              </w:rPr>
              <w:t xml:space="preserve">Removal of ‘the percentage of investments in issuers having exposure to, or ties with the sectors and the additional exclusions (above </w:t>
            </w:r>
            <w:r w:rsidRPr="007226B3">
              <w:rPr>
                <w:b w:val="0"/>
                <w:bCs w:val="0"/>
              </w:rPr>
              <w:lastRenderedPageBreak/>
              <w:t>applicable thresholds) as further described below’ under the question 'What sustainability indicators are used to measure the attainment of each of the environmental or social characteristics promoted by this financial product?'</w:t>
            </w:r>
          </w:p>
          <w:p w14:paraId="706159CA" w14:textId="77777777" w:rsidR="00CC19EC" w:rsidRDefault="00CC19EC" w:rsidP="001D7292">
            <w:pPr>
              <w:pStyle w:val="06TertiaryHead"/>
              <w:ind w:left="360"/>
              <w:jc w:val="both"/>
              <w:rPr>
                <w:b w:val="0"/>
                <w:bCs w:val="0"/>
              </w:rPr>
            </w:pPr>
            <w:r>
              <w:rPr>
                <w:b w:val="0"/>
                <w:bCs w:val="0"/>
              </w:rPr>
              <w:t xml:space="preserve">Funds impacted by this change: </w:t>
            </w:r>
            <w:r w:rsidRPr="007226B3">
              <w:rPr>
                <w:b w:val="0"/>
                <w:bCs w:val="0"/>
              </w:rPr>
              <w:t>Franklin Euro High Yield Fund, Franklin European Corporate Bond Fund, Franklin Global Sustainable Bond Fund</w:t>
            </w:r>
            <w:r>
              <w:rPr>
                <w:b w:val="0"/>
                <w:bCs w:val="0"/>
              </w:rPr>
              <w:t>.</w:t>
            </w:r>
          </w:p>
          <w:p w14:paraId="61BE9989" w14:textId="77777777" w:rsidR="00CC19EC" w:rsidRDefault="00CC19EC" w:rsidP="001D7292">
            <w:pPr>
              <w:pStyle w:val="06TertiaryHead"/>
              <w:ind w:left="360"/>
              <w:jc w:val="both"/>
              <w:rPr>
                <w:b w:val="0"/>
                <w:bCs w:val="0"/>
              </w:rPr>
            </w:pPr>
          </w:p>
          <w:p w14:paraId="6815000C" w14:textId="77777777" w:rsidR="00CC19EC" w:rsidRPr="002064ED" w:rsidRDefault="00CC19EC" w:rsidP="00CC19EC">
            <w:pPr>
              <w:pStyle w:val="06TertiaryHead"/>
              <w:numPr>
                <w:ilvl w:val="0"/>
                <w:numId w:val="24"/>
              </w:numPr>
              <w:jc w:val="both"/>
              <w:rPr>
                <w:b w:val="0"/>
              </w:rPr>
            </w:pPr>
            <w:r w:rsidRPr="007226B3">
              <w:rPr>
                <w:b w:val="0"/>
                <w:bCs w:val="0"/>
              </w:rPr>
              <w:t>Removal of 'compared to the Fund's Benchmark</w:t>
            </w:r>
            <w:r>
              <w:rPr>
                <w:b w:val="0"/>
                <w:bCs w:val="0"/>
              </w:rPr>
              <w:t>’</w:t>
            </w:r>
            <w:r w:rsidRPr="007226B3">
              <w:rPr>
                <w:b w:val="0"/>
                <w:bCs w:val="0"/>
              </w:rPr>
              <w:t xml:space="preserve"> from the following sustainability indicator under the question 'What sustainability indicators are used to measure the attainment of each of the environmental or social characteristics promoted by this financial product?'</w:t>
            </w:r>
          </w:p>
          <w:p w14:paraId="08AFC00D" w14:textId="77777777" w:rsidR="00CC19EC" w:rsidRPr="002064ED" w:rsidRDefault="00CC19EC" w:rsidP="001D7292">
            <w:pPr>
              <w:pStyle w:val="06TertiaryHead"/>
              <w:ind w:left="360"/>
              <w:jc w:val="both"/>
              <w:rPr>
                <w:b w:val="0"/>
              </w:rPr>
            </w:pPr>
            <w:r w:rsidRPr="007226B3">
              <w:rPr>
                <w:b w:val="0"/>
                <w:bCs w:val="0"/>
              </w:rPr>
              <w:t xml:space="preserve">‘Removal of exposure to the principle adverse impacts (the "PAIs") indicators </w:t>
            </w:r>
            <w:r w:rsidRPr="007226B3">
              <w:rPr>
                <w:b w:val="0"/>
                <w:bCs w:val="0"/>
                <w:strike/>
              </w:rPr>
              <w:t>compared to the Fund’s benchmark</w:t>
            </w:r>
            <w:r w:rsidRPr="007226B3">
              <w:rPr>
                <w:b w:val="0"/>
                <w:bCs w:val="0"/>
              </w:rPr>
              <w:t>’</w:t>
            </w:r>
          </w:p>
          <w:p w14:paraId="59677795" w14:textId="77777777" w:rsidR="00CC19EC" w:rsidRDefault="00CC19EC" w:rsidP="001D7292">
            <w:pPr>
              <w:pStyle w:val="06TertiaryHead"/>
              <w:ind w:left="360"/>
              <w:jc w:val="both"/>
            </w:pPr>
            <w:r w:rsidRPr="007226B3">
              <w:rPr>
                <w:b w:val="0"/>
                <w:bCs w:val="0"/>
              </w:rPr>
              <w:t>Funds impacted by this change: Franklin Euro High Yield Fund, Franklin European Corporate Bond Fund, Franklin Global Corporate Investment Grade Bond Fund</w:t>
            </w:r>
          </w:p>
          <w:p w14:paraId="71636631" w14:textId="77777777" w:rsidR="00CC19EC" w:rsidRDefault="00CC19EC" w:rsidP="001D7292">
            <w:pPr>
              <w:pStyle w:val="06TertiaryHead"/>
              <w:jc w:val="both"/>
            </w:pPr>
          </w:p>
          <w:p w14:paraId="0D54688E" w14:textId="77777777" w:rsidR="00CC19EC" w:rsidRPr="007226B3" w:rsidRDefault="00CC19EC" w:rsidP="00CC19EC">
            <w:pPr>
              <w:pStyle w:val="06TertiaryHead"/>
              <w:numPr>
                <w:ilvl w:val="0"/>
                <w:numId w:val="24"/>
              </w:numPr>
              <w:jc w:val="both"/>
              <w:rPr>
                <w:rFonts w:asciiTheme="minorHAnsi" w:hAnsiTheme="minorHAnsi" w:cstheme="minorHAnsi"/>
                <w:b w:val="0"/>
                <w:bCs w:val="0"/>
              </w:rPr>
            </w:pPr>
            <w:r w:rsidRPr="007226B3">
              <w:rPr>
                <w:b w:val="0"/>
                <w:bCs w:val="0"/>
              </w:rPr>
              <w:t>Removal of the sentence under Performing the DNSH test 'Additionally, sovereign issuers are subjected to tests and evaluation based on their greenhouse gas emissions, political liberties and/or corruption.' under the question 'Does this financial product consider principal adverse impacts on sustainability factors?'</w:t>
            </w:r>
          </w:p>
          <w:p w14:paraId="7A3BC1B6" w14:textId="77777777" w:rsidR="00CC19EC" w:rsidRDefault="00CC19EC" w:rsidP="001D7292">
            <w:pPr>
              <w:pStyle w:val="06TertiaryHead"/>
              <w:ind w:left="360"/>
              <w:jc w:val="both"/>
              <w:rPr>
                <w:b w:val="0"/>
                <w:bCs w:val="0"/>
              </w:rPr>
            </w:pPr>
            <w:r w:rsidRPr="007226B3">
              <w:rPr>
                <w:b w:val="0"/>
                <w:bCs w:val="0"/>
              </w:rPr>
              <w:t>Fund impacted by this change: Franklin Global Sustainable Bond Fund</w:t>
            </w:r>
          </w:p>
          <w:p w14:paraId="348EE744" w14:textId="22B31E3A" w:rsidR="00CC19EC" w:rsidRPr="007A6283" w:rsidRDefault="00CC19EC" w:rsidP="001D7292">
            <w:pPr>
              <w:pStyle w:val="06TertiaryHead"/>
              <w:jc w:val="both"/>
              <w:rPr>
                <w:rFonts w:asciiTheme="minorHAnsi" w:hAnsiTheme="minorHAnsi" w:cstheme="minorHAnsi"/>
                <w:b w:val="0"/>
                <w:bCs w:val="0"/>
              </w:rPr>
            </w:pPr>
          </w:p>
          <w:p w14:paraId="694ADA1E" w14:textId="77777777" w:rsidR="00CC19EC" w:rsidRPr="00DF442F" w:rsidRDefault="00CC19EC" w:rsidP="001D7292">
            <w:pPr>
              <w:pStyle w:val="06TertiaryHead"/>
              <w:jc w:val="both"/>
              <w:rPr>
                <w:rFonts w:asciiTheme="minorHAnsi" w:hAnsiTheme="minorHAnsi" w:cstheme="minorHAnsi"/>
                <w:b w:val="0"/>
                <w:bCs w:val="0"/>
              </w:rPr>
            </w:pPr>
          </w:p>
        </w:tc>
        <w:tc>
          <w:tcPr>
            <w:tcW w:w="5812" w:type="dxa"/>
          </w:tcPr>
          <w:p w14:paraId="779E9680" w14:textId="77777777" w:rsidR="00CC19EC" w:rsidRDefault="00CC19EC" w:rsidP="001D7292">
            <w:pPr>
              <w:ind w:left="0"/>
            </w:pPr>
          </w:p>
          <w:p w14:paraId="1A009208" w14:textId="77777777" w:rsidR="00CC19EC" w:rsidRDefault="00CC19EC" w:rsidP="001D7292">
            <w:pPr>
              <w:ind w:left="0"/>
            </w:pPr>
            <w:r>
              <w:t xml:space="preserve">Updates made to ensure clarity, consistency and readability throughout the PCDs and across the Fixed Income Article 8 and 9 Funds. </w:t>
            </w:r>
          </w:p>
          <w:p w14:paraId="22EEF52E" w14:textId="77777777" w:rsidR="00CC19EC" w:rsidRDefault="00CC19EC" w:rsidP="001D7292">
            <w:pPr>
              <w:pStyle w:val="06TertiaryHead"/>
              <w:jc w:val="both"/>
              <w:rPr>
                <w:rFonts w:asciiTheme="minorHAnsi" w:hAnsiTheme="minorHAnsi" w:cstheme="minorHAnsi"/>
                <w:b w:val="0"/>
                <w:bCs w:val="0"/>
              </w:rPr>
            </w:pPr>
          </w:p>
          <w:p w14:paraId="4440A8FF" w14:textId="77777777" w:rsidR="00CC19EC" w:rsidRDefault="00CC19EC" w:rsidP="001D7292">
            <w:pPr>
              <w:pStyle w:val="06TertiaryHead"/>
              <w:jc w:val="both"/>
              <w:rPr>
                <w:rFonts w:asciiTheme="minorHAnsi" w:hAnsiTheme="minorHAnsi" w:cstheme="minorHAnsi"/>
                <w:b w:val="0"/>
                <w:bCs w:val="0"/>
              </w:rPr>
            </w:pPr>
          </w:p>
          <w:p w14:paraId="7FA01CD1" w14:textId="77777777" w:rsidR="00CC19EC" w:rsidRDefault="00CC19EC" w:rsidP="001D7292">
            <w:pPr>
              <w:pStyle w:val="06TertiaryHead"/>
              <w:jc w:val="both"/>
              <w:rPr>
                <w:rFonts w:asciiTheme="minorHAnsi" w:hAnsiTheme="minorHAnsi" w:cstheme="minorHAnsi"/>
                <w:b w:val="0"/>
                <w:bCs w:val="0"/>
              </w:rPr>
            </w:pPr>
          </w:p>
          <w:p w14:paraId="3C7E8A7E" w14:textId="77777777" w:rsidR="00CC19EC" w:rsidRDefault="00CC19EC" w:rsidP="001D7292">
            <w:pPr>
              <w:pStyle w:val="06TertiaryHead"/>
              <w:jc w:val="both"/>
              <w:rPr>
                <w:rFonts w:asciiTheme="minorHAnsi" w:hAnsiTheme="minorHAnsi" w:cstheme="minorHAnsi"/>
                <w:b w:val="0"/>
                <w:bCs w:val="0"/>
              </w:rPr>
            </w:pPr>
          </w:p>
          <w:p w14:paraId="5D93D452" w14:textId="77777777" w:rsidR="00CC19EC" w:rsidRPr="008530B8" w:rsidRDefault="00CC19EC" w:rsidP="00CC19EC">
            <w:pPr>
              <w:pStyle w:val="06TertiaryHead"/>
              <w:numPr>
                <w:ilvl w:val="0"/>
                <w:numId w:val="25"/>
              </w:numPr>
              <w:jc w:val="both"/>
              <w:rPr>
                <w:rFonts w:asciiTheme="minorHAnsi" w:hAnsiTheme="minorHAnsi" w:cstheme="minorHAnsi"/>
                <w:b w:val="0"/>
                <w:bCs w:val="0"/>
              </w:rPr>
            </w:pPr>
            <w:r w:rsidRPr="007226B3">
              <w:rPr>
                <w:b w:val="0"/>
                <w:bCs w:val="0"/>
              </w:rPr>
              <w:t>Growing consensus in Germany that nuclear is critical for decarbonisation goals. Removing this sentence allows investment in nuclear SI in the future.</w:t>
            </w:r>
          </w:p>
          <w:p w14:paraId="0B4531BF" w14:textId="77777777" w:rsidR="00CC19EC" w:rsidRDefault="00CC19EC" w:rsidP="001D7292">
            <w:pPr>
              <w:pStyle w:val="06TertiaryHead"/>
              <w:jc w:val="both"/>
              <w:rPr>
                <w:rFonts w:asciiTheme="minorHAnsi" w:hAnsiTheme="minorHAnsi" w:cstheme="minorHAnsi"/>
                <w:b w:val="0"/>
                <w:bCs w:val="0"/>
              </w:rPr>
            </w:pPr>
          </w:p>
          <w:p w14:paraId="78922BB3" w14:textId="77777777" w:rsidR="00CC19EC" w:rsidRDefault="00CC19EC" w:rsidP="001D7292">
            <w:pPr>
              <w:pStyle w:val="06TertiaryHead"/>
              <w:jc w:val="both"/>
              <w:rPr>
                <w:rFonts w:asciiTheme="minorHAnsi" w:hAnsiTheme="minorHAnsi" w:cstheme="minorHAnsi"/>
                <w:b w:val="0"/>
                <w:bCs w:val="0"/>
              </w:rPr>
            </w:pPr>
          </w:p>
          <w:p w14:paraId="1F0DBBF0" w14:textId="77777777" w:rsidR="0051564B" w:rsidRDefault="0051564B" w:rsidP="001D7292">
            <w:pPr>
              <w:pStyle w:val="06TertiaryHead"/>
              <w:jc w:val="both"/>
              <w:rPr>
                <w:rFonts w:asciiTheme="minorHAnsi" w:hAnsiTheme="minorHAnsi" w:cstheme="minorHAnsi"/>
                <w:b w:val="0"/>
                <w:bCs w:val="0"/>
              </w:rPr>
            </w:pPr>
          </w:p>
          <w:p w14:paraId="4236DA47" w14:textId="77777777" w:rsidR="0051564B" w:rsidRDefault="0051564B" w:rsidP="001D7292">
            <w:pPr>
              <w:pStyle w:val="06TertiaryHead"/>
              <w:jc w:val="both"/>
              <w:rPr>
                <w:rFonts w:asciiTheme="minorHAnsi" w:hAnsiTheme="minorHAnsi" w:cstheme="minorHAnsi"/>
                <w:b w:val="0"/>
                <w:bCs w:val="0"/>
              </w:rPr>
            </w:pPr>
          </w:p>
          <w:p w14:paraId="1AA35E87" w14:textId="77777777" w:rsidR="00CC19EC" w:rsidRDefault="00CC19EC" w:rsidP="001D7292">
            <w:pPr>
              <w:pStyle w:val="06TertiaryHead"/>
              <w:jc w:val="both"/>
              <w:rPr>
                <w:rFonts w:asciiTheme="minorHAnsi" w:hAnsiTheme="minorHAnsi" w:cstheme="minorHAnsi"/>
                <w:b w:val="0"/>
                <w:bCs w:val="0"/>
              </w:rPr>
            </w:pPr>
          </w:p>
          <w:p w14:paraId="086E151F" w14:textId="77777777" w:rsidR="00CC19EC" w:rsidRDefault="00CC19EC" w:rsidP="001D7292">
            <w:pPr>
              <w:pStyle w:val="06TertiaryHead"/>
              <w:jc w:val="both"/>
              <w:rPr>
                <w:rFonts w:asciiTheme="minorHAnsi" w:hAnsiTheme="minorHAnsi" w:cstheme="minorHAnsi"/>
                <w:b w:val="0"/>
                <w:bCs w:val="0"/>
              </w:rPr>
            </w:pPr>
          </w:p>
          <w:p w14:paraId="022D02F5" w14:textId="77777777" w:rsidR="00CC19EC" w:rsidRDefault="00CC19EC" w:rsidP="001D7292">
            <w:pPr>
              <w:pStyle w:val="06TertiaryHead"/>
              <w:jc w:val="both"/>
              <w:rPr>
                <w:rFonts w:asciiTheme="minorHAnsi" w:hAnsiTheme="minorHAnsi" w:cstheme="minorHAnsi"/>
                <w:b w:val="0"/>
                <w:bCs w:val="0"/>
              </w:rPr>
            </w:pPr>
          </w:p>
          <w:p w14:paraId="13D7296E" w14:textId="77777777" w:rsidR="00CC19EC" w:rsidRDefault="00CC19EC" w:rsidP="00CC19EC">
            <w:pPr>
              <w:pStyle w:val="06TertiaryHead"/>
              <w:numPr>
                <w:ilvl w:val="0"/>
                <w:numId w:val="25"/>
              </w:numPr>
              <w:jc w:val="both"/>
              <w:rPr>
                <w:rFonts w:asciiTheme="minorHAnsi" w:hAnsiTheme="minorHAnsi" w:cstheme="minorHAnsi"/>
                <w:b w:val="0"/>
                <w:bCs w:val="0"/>
              </w:rPr>
            </w:pPr>
            <w:r>
              <w:rPr>
                <w:rFonts w:asciiTheme="minorHAnsi" w:hAnsiTheme="minorHAnsi" w:cstheme="minorHAnsi"/>
                <w:b w:val="0"/>
                <w:bCs w:val="0"/>
              </w:rPr>
              <w:t xml:space="preserve">Removal of the % of investments in excluded sectors and additional sector as this should always be 0%. </w:t>
            </w:r>
          </w:p>
          <w:p w14:paraId="405D0BD3" w14:textId="77777777" w:rsidR="00CC19EC" w:rsidRDefault="00CC19EC" w:rsidP="001D7292">
            <w:pPr>
              <w:pStyle w:val="06TertiaryHead"/>
              <w:jc w:val="both"/>
              <w:rPr>
                <w:rFonts w:asciiTheme="minorHAnsi" w:hAnsiTheme="minorHAnsi" w:cstheme="minorHAnsi"/>
                <w:b w:val="0"/>
                <w:bCs w:val="0"/>
              </w:rPr>
            </w:pPr>
          </w:p>
          <w:p w14:paraId="4C9B643C" w14:textId="77777777" w:rsidR="00CC19EC" w:rsidRDefault="00CC19EC" w:rsidP="001D7292">
            <w:pPr>
              <w:pStyle w:val="06TertiaryHead"/>
              <w:jc w:val="both"/>
              <w:rPr>
                <w:rFonts w:asciiTheme="minorHAnsi" w:hAnsiTheme="minorHAnsi" w:cstheme="minorHAnsi"/>
                <w:b w:val="0"/>
                <w:bCs w:val="0"/>
              </w:rPr>
            </w:pPr>
          </w:p>
          <w:p w14:paraId="00612FB0" w14:textId="77777777" w:rsidR="00CC19EC" w:rsidRDefault="00CC19EC" w:rsidP="001D7292">
            <w:pPr>
              <w:pStyle w:val="06TertiaryHead"/>
              <w:jc w:val="both"/>
              <w:rPr>
                <w:rFonts w:asciiTheme="minorHAnsi" w:hAnsiTheme="minorHAnsi" w:cstheme="minorHAnsi"/>
                <w:b w:val="0"/>
                <w:bCs w:val="0"/>
              </w:rPr>
            </w:pPr>
          </w:p>
          <w:p w14:paraId="2B6F16E8" w14:textId="77777777" w:rsidR="00CC19EC" w:rsidRDefault="00CC19EC" w:rsidP="001D7292">
            <w:pPr>
              <w:pStyle w:val="06TertiaryHead"/>
              <w:jc w:val="both"/>
              <w:rPr>
                <w:rFonts w:asciiTheme="minorHAnsi" w:hAnsiTheme="minorHAnsi" w:cstheme="minorHAnsi"/>
                <w:b w:val="0"/>
                <w:bCs w:val="0"/>
              </w:rPr>
            </w:pPr>
          </w:p>
          <w:p w14:paraId="5FCE7CF3" w14:textId="77777777" w:rsidR="00CC19EC" w:rsidRDefault="00CC19EC" w:rsidP="001D7292">
            <w:pPr>
              <w:pStyle w:val="06TertiaryHead"/>
              <w:jc w:val="both"/>
              <w:rPr>
                <w:rFonts w:asciiTheme="minorHAnsi" w:hAnsiTheme="minorHAnsi" w:cstheme="minorHAnsi"/>
                <w:b w:val="0"/>
                <w:bCs w:val="0"/>
              </w:rPr>
            </w:pPr>
          </w:p>
          <w:p w14:paraId="0F9C671F" w14:textId="77777777" w:rsidR="00CC19EC" w:rsidRDefault="00CC19EC" w:rsidP="001D7292">
            <w:pPr>
              <w:pStyle w:val="06TertiaryHead"/>
              <w:jc w:val="both"/>
              <w:rPr>
                <w:rFonts w:asciiTheme="minorHAnsi" w:hAnsiTheme="minorHAnsi" w:cstheme="minorHAnsi"/>
                <w:b w:val="0"/>
                <w:bCs w:val="0"/>
              </w:rPr>
            </w:pPr>
          </w:p>
          <w:p w14:paraId="12F9579C" w14:textId="77777777" w:rsidR="0051564B" w:rsidRDefault="0051564B" w:rsidP="001D7292">
            <w:pPr>
              <w:pStyle w:val="06TertiaryHead"/>
              <w:jc w:val="both"/>
              <w:rPr>
                <w:rFonts w:asciiTheme="minorHAnsi" w:hAnsiTheme="minorHAnsi" w:cstheme="minorHAnsi"/>
                <w:b w:val="0"/>
                <w:bCs w:val="0"/>
              </w:rPr>
            </w:pPr>
          </w:p>
          <w:p w14:paraId="38B578FE" w14:textId="77777777" w:rsidR="0051564B" w:rsidRDefault="0051564B" w:rsidP="001D7292">
            <w:pPr>
              <w:pStyle w:val="06TertiaryHead"/>
              <w:jc w:val="both"/>
              <w:rPr>
                <w:rFonts w:asciiTheme="minorHAnsi" w:hAnsiTheme="minorHAnsi" w:cstheme="minorHAnsi"/>
                <w:b w:val="0"/>
                <w:bCs w:val="0"/>
              </w:rPr>
            </w:pPr>
          </w:p>
          <w:p w14:paraId="1079DC94" w14:textId="77777777" w:rsidR="0051564B" w:rsidRDefault="0051564B" w:rsidP="001D7292">
            <w:pPr>
              <w:pStyle w:val="06TertiaryHead"/>
              <w:jc w:val="both"/>
              <w:rPr>
                <w:rFonts w:asciiTheme="minorHAnsi" w:hAnsiTheme="minorHAnsi" w:cstheme="minorHAnsi"/>
                <w:b w:val="0"/>
                <w:bCs w:val="0"/>
              </w:rPr>
            </w:pPr>
          </w:p>
          <w:p w14:paraId="7E2CD8DD" w14:textId="77777777" w:rsidR="00CC19EC" w:rsidRPr="005F62D2" w:rsidRDefault="00CC19EC" w:rsidP="00CC19EC">
            <w:pPr>
              <w:pStyle w:val="06TertiaryHead"/>
              <w:numPr>
                <w:ilvl w:val="0"/>
                <w:numId w:val="25"/>
              </w:numPr>
              <w:jc w:val="both"/>
              <w:rPr>
                <w:rFonts w:asciiTheme="minorHAnsi" w:hAnsiTheme="minorHAnsi" w:cstheme="minorBidi"/>
                <w:b w:val="0"/>
              </w:rPr>
            </w:pPr>
            <w:r w:rsidRPr="005F62D2">
              <w:rPr>
                <w:rFonts w:asciiTheme="minorHAnsi" w:hAnsiTheme="minorHAnsi" w:cstheme="minorBidi"/>
                <w:b w:val="0"/>
              </w:rPr>
              <w:t>The comparison to the Fund’s benchmark has been removed as it provides limited additional insight to investors and is subject to data challenges in calculating benchmark-level PAI indicators. The Fund will instead report its PAI exposure on an absolute basis, alongside other sustainability metrics, ensuring continued transparency while reducing unnecessary operational complexity.</w:t>
            </w:r>
          </w:p>
          <w:p w14:paraId="198896DD" w14:textId="77777777" w:rsidR="00CC19EC" w:rsidRDefault="00CC19EC" w:rsidP="001D7292">
            <w:pPr>
              <w:pStyle w:val="06TertiaryHead"/>
              <w:jc w:val="both"/>
              <w:rPr>
                <w:rFonts w:asciiTheme="minorHAnsi" w:hAnsiTheme="minorHAnsi" w:cstheme="minorHAnsi"/>
                <w:b w:val="0"/>
                <w:bCs w:val="0"/>
              </w:rPr>
            </w:pPr>
          </w:p>
          <w:p w14:paraId="28106A70" w14:textId="77777777" w:rsidR="00CC19EC" w:rsidRDefault="00CC19EC" w:rsidP="001D7292">
            <w:pPr>
              <w:pStyle w:val="06TertiaryHead"/>
              <w:jc w:val="both"/>
              <w:rPr>
                <w:rFonts w:asciiTheme="minorHAnsi" w:hAnsiTheme="minorHAnsi" w:cstheme="minorHAnsi"/>
                <w:b w:val="0"/>
                <w:bCs w:val="0"/>
              </w:rPr>
            </w:pPr>
          </w:p>
          <w:p w14:paraId="18D00F79" w14:textId="77777777" w:rsidR="00CC19EC" w:rsidRDefault="00CC19EC" w:rsidP="001D7292">
            <w:pPr>
              <w:pStyle w:val="06TertiaryHead"/>
              <w:jc w:val="both"/>
              <w:rPr>
                <w:rFonts w:asciiTheme="minorHAnsi" w:hAnsiTheme="minorHAnsi" w:cstheme="minorHAnsi"/>
                <w:b w:val="0"/>
                <w:bCs w:val="0"/>
              </w:rPr>
            </w:pPr>
          </w:p>
          <w:p w14:paraId="31F0964A" w14:textId="77777777" w:rsidR="0051564B" w:rsidRDefault="0051564B" w:rsidP="001D7292">
            <w:pPr>
              <w:pStyle w:val="06TertiaryHead"/>
              <w:jc w:val="both"/>
              <w:rPr>
                <w:rFonts w:asciiTheme="minorHAnsi" w:hAnsiTheme="minorHAnsi" w:cstheme="minorHAnsi"/>
                <w:b w:val="0"/>
                <w:bCs w:val="0"/>
              </w:rPr>
            </w:pPr>
          </w:p>
          <w:p w14:paraId="3B2D8E46" w14:textId="77777777" w:rsidR="0051564B" w:rsidRDefault="0051564B" w:rsidP="001D7292">
            <w:pPr>
              <w:pStyle w:val="06TertiaryHead"/>
              <w:jc w:val="both"/>
              <w:rPr>
                <w:rFonts w:asciiTheme="minorHAnsi" w:hAnsiTheme="minorHAnsi" w:cstheme="minorHAnsi"/>
                <w:b w:val="0"/>
                <w:bCs w:val="0"/>
              </w:rPr>
            </w:pPr>
          </w:p>
          <w:p w14:paraId="00EE650F" w14:textId="77777777" w:rsidR="00CC19EC" w:rsidRDefault="00CC19EC" w:rsidP="001D7292">
            <w:pPr>
              <w:pStyle w:val="06TertiaryHead"/>
              <w:ind w:left="360"/>
              <w:jc w:val="both"/>
              <w:rPr>
                <w:rFonts w:asciiTheme="minorHAnsi" w:hAnsiTheme="minorHAnsi" w:cstheme="minorHAnsi"/>
                <w:b w:val="0"/>
                <w:bCs w:val="0"/>
              </w:rPr>
            </w:pPr>
          </w:p>
          <w:p w14:paraId="54A7AA98" w14:textId="77777777" w:rsidR="00CC19EC" w:rsidRDefault="00CC19EC" w:rsidP="00CC19EC">
            <w:pPr>
              <w:pStyle w:val="06TertiaryHead"/>
              <w:numPr>
                <w:ilvl w:val="0"/>
                <w:numId w:val="25"/>
              </w:numPr>
              <w:jc w:val="both"/>
              <w:rPr>
                <w:rFonts w:asciiTheme="minorHAnsi" w:hAnsiTheme="minorHAnsi" w:cstheme="minorHAnsi"/>
                <w:b w:val="0"/>
                <w:bCs w:val="0"/>
              </w:rPr>
            </w:pPr>
            <w:r>
              <w:rPr>
                <w:rFonts w:asciiTheme="minorHAnsi" w:hAnsiTheme="minorHAnsi" w:cstheme="minorHAnsi"/>
                <w:b w:val="0"/>
                <w:bCs w:val="0"/>
              </w:rPr>
              <w:t xml:space="preserve">There is reference to ‘a number of issuers’ in the previous sentence which covers all issuers, both corporate and sovereign issuers. Removing this sentence removes unnecessary repetition. </w:t>
            </w:r>
          </w:p>
          <w:p w14:paraId="3F486143" w14:textId="77777777" w:rsidR="00CC19EC" w:rsidRDefault="00CC19EC" w:rsidP="001D7292">
            <w:pPr>
              <w:pStyle w:val="06TertiaryHead"/>
              <w:jc w:val="both"/>
              <w:rPr>
                <w:rFonts w:asciiTheme="minorHAnsi" w:hAnsiTheme="minorHAnsi" w:cstheme="minorHAnsi"/>
                <w:b w:val="0"/>
                <w:bCs w:val="0"/>
              </w:rPr>
            </w:pPr>
          </w:p>
          <w:p w14:paraId="56C816B0" w14:textId="77777777" w:rsidR="00CC19EC" w:rsidRDefault="00CC19EC" w:rsidP="001D7292">
            <w:pPr>
              <w:pStyle w:val="06TertiaryHead"/>
              <w:jc w:val="both"/>
              <w:rPr>
                <w:rFonts w:asciiTheme="minorHAnsi" w:hAnsiTheme="minorHAnsi" w:cstheme="minorHAnsi"/>
                <w:b w:val="0"/>
                <w:bCs w:val="0"/>
              </w:rPr>
            </w:pPr>
          </w:p>
          <w:p w14:paraId="551B457D" w14:textId="77777777" w:rsidR="00CC19EC" w:rsidRDefault="00CC19EC" w:rsidP="001D7292">
            <w:pPr>
              <w:pStyle w:val="06TertiaryHead"/>
              <w:jc w:val="both"/>
              <w:rPr>
                <w:rFonts w:asciiTheme="minorHAnsi" w:hAnsiTheme="minorHAnsi" w:cstheme="minorHAnsi"/>
                <w:b w:val="0"/>
                <w:bCs w:val="0"/>
              </w:rPr>
            </w:pPr>
          </w:p>
          <w:p w14:paraId="1245A74D" w14:textId="77777777" w:rsidR="00CC19EC" w:rsidRDefault="00CC19EC" w:rsidP="001D7292">
            <w:pPr>
              <w:pStyle w:val="06TertiaryHead"/>
              <w:jc w:val="both"/>
              <w:rPr>
                <w:rFonts w:asciiTheme="minorHAnsi" w:hAnsiTheme="minorHAnsi" w:cstheme="minorHAnsi"/>
                <w:b w:val="0"/>
                <w:bCs w:val="0"/>
              </w:rPr>
            </w:pPr>
          </w:p>
          <w:p w14:paraId="152FF51D" w14:textId="77777777" w:rsidR="00CC19EC" w:rsidRDefault="00CC19EC" w:rsidP="001D7292">
            <w:pPr>
              <w:pStyle w:val="06TertiaryHead"/>
              <w:jc w:val="both"/>
              <w:rPr>
                <w:rFonts w:asciiTheme="minorHAnsi" w:hAnsiTheme="minorHAnsi" w:cstheme="minorHAnsi"/>
                <w:b w:val="0"/>
                <w:bCs w:val="0"/>
              </w:rPr>
            </w:pPr>
          </w:p>
          <w:p w14:paraId="6BDB1F97" w14:textId="77777777" w:rsidR="00CC19EC" w:rsidRPr="001C09C9" w:rsidRDefault="00CC19EC" w:rsidP="001D7292">
            <w:pPr>
              <w:pStyle w:val="06TertiaryHead"/>
              <w:jc w:val="both"/>
              <w:rPr>
                <w:rFonts w:asciiTheme="minorHAnsi" w:hAnsiTheme="minorHAnsi" w:cstheme="minorHAnsi"/>
                <w:b w:val="0"/>
                <w:bCs w:val="0"/>
              </w:rPr>
            </w:pPr>
            <w:r>
              <w:rPr>
                <w:rFonts w:asciiTheme="minorHAnsi" w:hAnsiTheme="minorHAnsi" w:cstheme="minorHAnsi"/>
                <w:b w:val="0"/>
                <w:bCs w:val="0"/>
              </w:rPr>
              <w:t xml:space="preserve">Note: </w:t>
            </w:r>
            <w:r w:rsidRPr="001C09C9">
              <w:rPr>
                <w:rFonts w:asciiTheme="minorHAnsi" w:hAnsiTheme="minorHAnsi" w:cstheme="minorHAnsi"/>
                <w:b w:val="0"/>
                <w:bCs w:val="0"/>
              </w:rPr>
              <w:t>No impact on the</w:t>
            </w:r>
            <w:r>
              <w:rPr>
                <w:rFonts w:asciiTheme="minorHAnsi" w:hAnsiTheme="minorHAnsi" w:cstheme="minorHAnsi"/>
                <w:b w:val="0"/>
                <w:bCs w:val="0"/>
              </w:rPr>
              <w:t xml:space="preserve"> fund’s </w:t>
            </w:r>
            <w:r w:rsidRPr="001C09C9">
              <w:rPr>
                <w:rFonts w:asciiTheme="minorHAnsi" w:hAnsiTheme="minorHAnsi" w:cstheme="minorHAnsi"/>
                <w:b w:val="0"/>
                <w:bCs w:val="0"/>
              </w:rPr>
              <w:t xml:space="preserve">portfolios as a result of the changes made. </w:t>
            </w:r>
          </w:p>
        </w:tc>
      </w:tr>
    </w:tbl>
    <w:p w14:paraId="0C6E11C8" w14:textId="77777777" w:rsidR="00CC19EC" w:rsidRDefault="00CC19EC" w:rsidP="00CC19EC">
      <w:pPr>
        <w:ind w:left="0"/>
        <w:rPr>
          <w:rFonts w:cs="Arial"/>
          <w:szCs w:val="22"/>
        </w:rPr>
      </w:pPr>
    </w:p>
    <w:p w14:paraId="75ACE352" w14:textId="77777777" w:rsidR="00CC19EC" w:rsidRDefault="00CC19EC" w:rsidP="00CC19EC">
      <w:pPr>
        <w:ind w:left="0"/>
        <w:rPr>
          <w:rFonts w:cs="Arial"/>
          <w:szCs w:val="22"/>
        </w:rPr>
      </w:pPr>
    </w:p>
    <w:tbl>
      <w:tblPr>
        <w:tblStyle w:val="TableGrid"/>
        <w:tblW w:w="10485" w:type="dxa"/>
        <w:tblLook w:val="04A0" w:firstRow="1" w:lastRow="0" w:firstColumn="1" w:lastColumn="0" w:noHBand="0" w:noVBand="1"/>
      </w:tblPr>
      <w:tblGrid>
        <w:gridCol w:w="4673"/>
        <w:gridCol w:w="5812"/>
      </w:tblGrid>
      <w:tr w:rsidR="00CC19EC" w:rsidRPr="00A61FB5" w14:paraId="4C95E7E6" w14:textId="77777777" w:rsidTr="001144D1">
        <w:trPr>
          <w:trHeight w:val="338"/>
        </w:trPr>
        <w:tc>
          <w:tcPr>
            <w:tcW w:w="10485" w:type="dxa"/>
            <w:gridSpan w:val="2"/>
            <w:shd w:val="clear" w:color="auto" w:fill="97BCFF" w:themeFill="accent4" w:themeFillTint="99"/>
            <w:vAlign w:val="center"/>
          </w:tcPr>
          <w:p w14:paraId="0499AD70" w14:textId="77777777" w:rsidR="00CC19EC" w:rsidRDefault="00CC19EC" w:rsidP="001D7292">
            <w:pPr>
              <w:pStyle w:val="06TertiaryHead"/>
              <w:spacing w:before="0"/>
              <w:jc w:val="both"/>
              <w:rPr>
                <w:rFonts w:asciiTheme="minorHAnsi" w:hAnsiTheme="minorHAnsi" w:cstheme="minorHAnsi"/>
              </w:rPr>
            </w:pPr>
            <w:r>
              <w:rPr>
                <w:rFonts w:asciiTheme="minorHAnsi" w:hAnsiTheme="minorHAnsi" w:cstheme="minorHAnsi"/>
              </w:rPr>
              <w:t>Funds:</w:t>
            </w:r>
          </w:p>
          <w:p w14:paraId="169F63DA" w14:textId="77777777" w:rsidR="00CC19EC" w:rsidRPr="00817262" w:rsidRDefault="00CC19EC" w:rsidP="001D7292">
            <w:pPr>
              <w:pStyle w:val="06TertiaryHead"/>
              <w:spacing w:before="0"/>
              <w:jc w:val="both"/>
              <w:rPr>
                <w:rFonts w:asciiTheme="minorHAnsi" w:hAnsiTheme="minorHAnsi" w:cstheme="minorHAnsi"/>
              </w:rPr>
            </w:pPr>
            <w:r w:rsidRPr="00817262">
              <w:rPr>
                <w:rFonts w:asciiTheme="minorHAnsi" w:hAnsiTheme="minorHAnsi" w:cstheme="minorHAnsi"/>
              </w:rPr>
              <w:t>Templeton Sustainable Global Bond (Euro) Fund</w:t>
            </w:r>
          </w:p>
          <w:p w14:paraId="7BC66494" w14:textId="77777777" w:rsidR="00CC19EC" w:rsidRPr="00817262" w:rsidRDefault="00CC19EC" w:rsidP="001D7292">
            <w:pPr>
              <w:pStyle w:val="06TertiaryHead"/>
              <w:spacing w:before="0"/>
              <w:jc w:val="both"/>
              <w:rPr>
                <w:rFonts w:asciiTheme="minorHAnsi" w:hAnsiTheme="minorHAnsi" w:cstheme="minorHAnsi"/>
              </w:rPr>
            </w:pPr>
            <w:r w:rsidRPr="00817262">
              <w:rPr>
                <w:rFonts w:asciiTheme="minorHAnsi" w:hAnsiTheme="minorHAnsi" w:cstheme="minorHAnsi"/>
              </w:rPr>
              <w:t>Templeton Global Bond Fund</w:t>
            </w:r>
          </w:p>
          <w:p w14:paraId="050D7F6D" w14:textId="77777777" w:rsidR="00CC19EC" w:rsidRPr="00817262" w:rsidRDefault="00CC19EC" w:rsidP="001D7292">
            <w:pPr>
              <w:pStyle w:val="06TertiaryHead"/>
              <w:spacing w:before="0"/>
              <w:jc w:val="both"/>
              <w:rPr>
                <w:rFonts w:asciiTheme="minorHAnsi" w:hAnsiTheme="minorHAnsi" w:cstheme="minorHAnsi"/>
              </w:rPr>
            </w:pPr>
            <w:r w:rsidRPr="00817262">
              <w:rPr>
                <w:rFonts w:asciiTheme="minorHAnsi" w:hAnsiTheme="minorHAnsi" w:cstheme="minorHAnsi"/>
              </w:rPr>
              <w:lastRenderedPageBreak/>
              <w:t>Templeton Asian Bond Fund</w:t>
            </w:r>
          </w:p>
          <w:p w14:paraId="71DE1D3C" w14:textId="77777777" w:rsidR="00CC19EC" w:rsidRPr="00817262" w:rsidRDefault="00CC19EC" w:rsidP="001D7292">
            <w:pPr>
              <w:pStyle w:val="06TertiaryHead"/>
              <w:spacing w:before="0"/>
              <w:jc w:val="both"/>
              <w:rPr>
                <w:rFonts w:asciiTheme="minorHAnsi" w:hAnsiTheme="minorHAnsi" w:cstheme="minorHAnsi"/>
              </w:rPr>
            </w:pPr>
            <w:r w:rsidRPr="00817262">
              <w:rPr>
                <w:rFonts w:asciiTheme="minorHAnsi" w:hAnsiTheme="minorHAnsi" w:cstheme="minorHAnsi"/>
              </w:rPr>
              <w:t>Templeton Emerging Markets Bond Fund</w:t>
            </w:r>
          </w:p>
          <w:p w14:paraId="7114802E" w14:textId="77777777" w:rsidR="00CC19EC" w:rsidRPr="00817262" w:rsidRDefault="00CC19EC" w:rsidP="001D7292">
            <w:pPr>
              <w:pStyle w:val="06TertiaryHead"/>
              <w:spacing w:before="0"/>
              <w:jc w:val="both"/>
              <w:rPr>
                <w:rFonts w:asciiTheme="minorHAnsi" w:hAnsiTheme="minorHAnsi" w:cstheme="minorHAnsi"/>
              </w:rPr>
            </w:pPr>
            <w:r w:rsidRPr="00817262">
              <w:rPr>
                <w:rFonts w:asciiTheme="minorHAnsi" w:hAnsiTheme="minorHAnsi" w:cstheme="minorHAnsi"/>
              </w:rPr>
              <w:t>Templeton Sustainable Emerging Markets Local Currency Bond Fund</w:t>
            </w:r>
          </w:p>
          <w:p w14:paraId="3A864871" w14:textId="77777777" w:rsidR="00CC19EC" w:rsidRPr="00883697" w:rsidRDefault="00CC19EC" w:rsidP="001D7292">
            <w:pPr>
              <w:pStyle w:val="06TertiaryHead"/>
              <w:spacing w:before="0"/>
              <w:jc w:val="both"/>
              <w:rPr>
                <w:rFonts w:asciiTheme="minorHAnsi" w:hAnsiTheme="minorHAnsi" w:cstheme="minorHAnsi"/>
              </w:rPr>
            </w:pPr>
            <w:r w:rsidRPr="00817262">
              <w:rPr>
                <w:rFonts w:asciiTheme="minorHAnsi" w:hAnsiTheme="minorHAnsi" w:cstheme="minorHAnsi"/>
              </w:rPr>
              <w:t>Templeton Global Total Return Fund</w:t>
            </w:r>
          </w:p>
        </w:tc>
      </w:tr>
      <w:tr w:rsidR="00CC19EC" w:rsidRPr="00A61FB5" w14:paraId="27816103" w14:textId="77777777" w:rsidTr="001144D1">
        <w:trPr>
          <w:trHeight w:val="338"/>
        </w:trPr>
        <w:tc>
          <w:tcPr>
            <w:tcW w:w="10485" w:type="dxa"/>
            <w:gridSpan w:val="2"/>
            <w:shd w:val="clear" w:color="auto" w:fill="DCE8FF" w:themeFill="accent4" w:themeFillTint="33"/>
            <w:vAlign w:val="center"/>
          </w:tcPr>
          <w:p w14:paraId="2DEE3C05" w14:textId="77777777" w:rsidR="00CC19EC" w:rsidRDefault="00CC19EC" w:rsidP="001D7292">
            <w:pPr>
              <w:pStyle w:val="06TertiaryHead"/>
              <w:spacing w:before="0"/>
              <w:jc w:val="both"/>
              <w:rPr>
                <w:rFonts w:asciiTheme="minorHAnsi" w:hAnsiTheme="minorHAnsi" w:cstheme="minorHAnsi"/>
              </w:rPr>
            </w:pPr>
            <w:r>
              <w:rPr>
                <w:rFonts w:asciiTheme="minorHAnsi" w:hAnsiTheme="minorHAnsi" w:cstheme="minorHAnsi"/>
              </w:rPr>
              <w:lastRenderedPageBreak/>
              <w:t xml:space="preserve">Summary of Changes: </w:t>
            </w:r>
            <w:r w:rsidRPr="00DC713B">
              <w:rPr>
                <w:rFonts w:asciiTheme="minorHAnsi" w:hAnsiTheme="minorHAnsi" w:cstheme="minorHAnsi"/>
                <w:b w:val="0"/>
                <w:bCs w:val="0"/>
              </w:rPr>
              <w:t>Updates to the SFDR annex/Pre-Contractual Disclosures (PCDs) of the above TGM funds</w:t>
            </w:r>
          </w:p>
        </w:tc>
      </w:tr>
      <w:tr w:rsidR="00CC19EC" w:rsidRPr="00A61FB5" w14:paraId="101C0B50" w14:textId="77777777" w:rsidTr="001144D1">
        <w:trPr>
          <w:trHeight w:val="346"/>
        </w:trPr>
        <w:tc>
          <w:tcPr>
            <w:tcW w:w="4673" w:type="dxa"/>
            <w:shd w:val="clear" w:color="auto" w:fill="E5E5E5" w:themeFill="accent5" w:themeFillTint="66"/>
            <w:vAlign w:val="center"/>
          </w:tcPr>
          <w:p w14:paraId="297377B9" w14:textId="77777777" w:rsidR="00CC19EC" w:rsidRPr="00A61FB5" w:rsidRDefault="00CC19EC" w:rsidP="001D7292">
            <w:pPr>
              <w:pStyle w:val="06TertiaryHead"/>
              <w:jc w:val="center"/>
              <w:rPr>
                <w:rFonts w:asciiTheme="minorHAnsi" w:hAnsiTheme="minorHAnsi" w:cstheme="minorHAnsi"/>
              </w:rPr>
            </w:pPr>
            <w:r w:rsidRPr="00A61FB5">
              <w:rPr>
                <w:rFonts w:asciiTheme="minorHAnsi" w:hAnsiTheme="minorHAnsi" w:cstheme="minorHAnsi"/>
              </w:rPr>
              <w:t>Propos</w:t>
            </w:r>
            <w:r>
              <w:rPr>
                <w:rFonts w:asciiTheme="minorHAnsi" w:hAnsiTheme="minorHAnsi" w:cstheme="minorHAnsi"/>
              </w:rPr>
              <w:t>ed Changes</w:t>
            </w:r>
          </w:p>
        </w:tc>
        <w:tc>
          <w:tcPr>
            <w:tcW w:w="5812" w:type="dxa"/>
            <w:shd w:val="clear" w:color="auto" w:fill="E5E5E5" w:themeFill="accent5" w:themeFillTint="66"/>
            <w:vAlign w:val="center"/>
          </w:tcPr>
          <w:p w14:paraId="4DC4C08F" w14:textId="77777777" w:rsidR="00CC19EC" w:rsidRPr="00A61FB5" w:rsidRDefault="00CC19EC" w:rsidP="001D7292">
            <w:pPr>
              <w:pStyle w:val="06TertiaryHead"/>
              <w:jc w:val="center"/>
              <w:rPr>
                <w:rFonts w:asciiTheme="minorHAnsi" w:hAnsiTheme="minorHAnsi" w:cstheme="minorHAnsi"/>
              </w:rPr>
            </w:pPr>
            <w:r w:rsidRPr="00A61FB5">
              <w:rPr>
                <w:rFonts w:asciiTheme="minorHAnsi" w:hAnsiTheme="minorHAnsi" w:cstheme="minorHAnsi"/>
              </w:rPr>
              <w:t>Rationale</w:t>
            </w:r>
          </w:p>
        </w:tc>
      </w:tr>
      <w:tr w:rsidR="00CC19EC" w:rsidRPr="00A61FB5" w14:paraId="1AC0FF76" w14:textId="77777777" w:rsidTr="001144D1">
        <w:trPr>
          <w:trHeight w:val="620"/>
        </w:trPr>
        <w:tc>
          <w:tcPr>
            <w:tcW w:w="4673" w:type="dxa"/>
          </w:tcPr>
          <w:p w14:paraId="1EEABBFB" w14:textId="77777777" w:rsidR="00CC19EC" w:rsidRPr="0040771B" w:rsidRDefault="00CC19EC" w:rsidP="001D7292">
            <w:pPr>
              <w:pStyle w:val="06TertiaryHead"/>
              <w:jc w:val="both"/>
              <w:rPr>
                <w:rFonts w:asciiTheme="minorHAnsi" w:hAnsiTheme="minorHAnsi" w:cstheme="minorHAnsi"/>
                <w:b w:val="0"/>
                <w:bCs w:val="0"/>
              </w:rPr>
            </w:pPr>
            <w:r w:rsidRPr="0040771B">
              <w:rPr>
                <w:rFonts w:asciiTheme="minorHAnsi" w:hAnsiTheme="minorHAnsi" w:cstheme="minorHAnsi"/>
                <w:b w:val="0"/>
                <w:bCs w:val="0"/>
              </w:rPr>
              <w:t>Additional wording has been included to clarify that, where an issuer’s MSCI ESG rating becomes unavailable while held by the Fund, the issuer will be treated as not aligned with the environmental and/or social characteristics promoted by the Fund and consequently classified under ‘#2 Other’.</w:t>
            </w:r>
          </w:p>
          <w:p w14:paraId="2E3A3D57" w14:textId="77777777" w:rsidR="00CC19EC" w:rsidRPr="0040771B" w:rsidRDefault="00CC19EC" w:rsidP="001D7292">
            <w:pPr>
              <w:pStyle w:val="06TertiaryHead"/>
              <w:jc w:val="both"/>
              <w:rPr>
                <w:rFonts w:asciiTheme="minorHAnsi" w:hAnsiTheme="minorHAnsi" w:cstheme="minorHAnsi"/>
                <w:b w:val="0"/>
                <w:bCs w:val="0"/>
              </w:rPr>
            </w:pPr>
            <w:r w:rsidRPr="0040771B">
              <w:rPr>
                <w:rFonts w:asciiTheme="minorHAnsi" w:hAnsiTheme="minorHAnsi" w:cstheme="minorHAnsi"/>
                <w:b w:val="0"/>
                <w:bCs w:val="0"/>
              </w:rPr>
              <w:t>This additional wording has been added to the following sections of the Pre-Contractual Disclosure:</w:t>
            </w:r>
          </w:p>
          <w:p w14:paraId="0B4FEC14" w14:textId="77777777" w:rsidR="00CC19EC" w:rsidRPr="0040771B" w:rsidRDefault="00CC19EC" w:rsidP="00CC19EC">
            <w:pPr>
              <w:pStyle w:val="06TertiaryHead"/>
              <w:numPr>
                <w:ilvl w:val="0"/>
                <w:numId w:val="23"/>
              </w:numPr>
              <w:spacing w:before="0"/>
              <w:jc w:val="both"/>
              <w:rPr>
                <w:rFonts w:asciiTheme="minorHAnsi" w:hAnsiTheme="minorHAnsi" w:cstheme="minorHAnsi"/>
                <w:b w:val="0"/>
                <w:bCs w:val="0"/>
              </w:rPr>
            </w:pPr>
            <w:r w:rsidRPr="0040771B">
              <w:rPr>
                <w:rFonts w:asciiTheme="minorHAnsi" w:hAnsiTheme="minorHAnsi" w:cstheme="minorHAnsi"/>
                <w:b w:val="0"/>
                <w:bCs w:val="0"/>
              </w:rPr>
              <w:t>What environmental and/or social characteristics are promoted by this financial product?</w:t>
            </w:r>
          </w:p>
          <w:p w14:paraId="14207AF5" w14:textId="77777777" w:rsidR="00CC19EC" w:rsidRPr="0040771B" w:rsidRDefault="00CC19EC" w:rsidP="00CC19EC">
            <w:pPr>
              <w:pStyle w:val="06TertiaryHead"/>
              <w:numPr>
                <w:ilvl w:val="0"/>
                <w:numId w:val="23"/>
              </w:numPr>
              <w:spacing w:before="0"/>
              <w:jc w:val="both"/>
              <w:rPr>
                <w:rFonts w:asciiTheme="minorHAnsi" w:hAnsiTheme="minorHAnsi" w:cstheme="minorHAnsi"/>
                <w:b w:val="0"/>
                <w:bCs w:val="0"/>
              </w:rPr>
            </w:pPr>
            <w:r w:rsidRPr="0040771B">
              <w:rPr>
                <w:rFonts w:asciiTheme="minorHAnsi" w:hAnsiTheme="minorHAnsi" w:cstheme="minorHAnsi"/>
                <w:b w:val="0"/>
                <w:bCs w:val="0"/>
              </w:rPr>
              <w:t>What investment strategy does this financial product follow?</w:t>
            </w:r>
          </w:p>
          <w:p w14:paraId="3D19CB9E" w14:textId="77777777" w:rsidR="00CC19EC" w:rsidRPr="0040771B" w:rsidRDefault="00CC19EC" w:rsidP="00CC19EC">
            <w:pPr>
              <w:pStyle w:val="06TertiaryHead"/>
              <w:numPr>
                <w:ilvl w:val="0"/>
                <w:numId w:val="23"/>
              </w:numPr>
              <w:spacing w:before="0"/>
              <w:jc w:val="both"/>
              <w:rPr>
                <w:rFonts w:asciiTheme="minorHAnsi" w:hAnsiTheme="minorHAnsi" w:cstheme="minorHAnsi"/>
                <w:b w:val="0"/>
                <w:bCs w:val="0"/>
              </w:rPr>
            </w:pPr>
            <w:r w:rsidRPr="0040771B">
              <w:rPr>
                <w:rFonts w:asciiTheme="minorHAnsi" w:hAnsiTheme="minorHAnsi" w:cstheme="minorHAnsi"/>
                <w:b w:val="0"/>
                <w:bCs w:val="0"/>
              </w:rPr>
              <w:t>What is the asset allocation planned for this financial product?</w:t>
            </w:r>
          </w:p>
          <w:p w14:paraId="21A5323C" w14:textId="77777777" w:rsidR="00CC19EC" w:rsidRDefault="00CC19EC" w:rsidP="00CC19EC">
            <w:pPr>
              <w:pStyle w:val="06TertiaryHead"/>
              <w:numPr>
                <w:ilvl w:val="0"/>
                <w:numId w:val="23"/>
              </w:numPr>
              <w:spacing w:before="0"/>
              <w:jc w:val="both"/>
              <w:rPr>
                <w:rFonts w:asciiTheme="minorHAnsi" w:hAnsiTheme="minorHAnsi" w:cstheme="minorHAnsi"/>
                <w:b w:val="0"/>
                <w:bCs w:val="0"/>
              </w:rPr>
            </w:pPr>
            <w:r w:rsidRPr="0040771B">
              <w:rPr>
                <w:rFonts w:asciiTheme="minorHAnsi" w:hAnsiTheme="minorHAnsi" w:cstheme="minorHAnsi"/>
                <w:b w:val="0"/>
                <w:bCs w:val="0"/>
              </w:rPr>
              <w:t>What investments are included under “#2 Other”, what is their purpose and are there any minimum environmental or social safeguards?</w:t>
            </w:r>
          </w:p>
          <w:p w14:paraId="5984E65C" w14:textId="77777777" w:rsidR="00CC19EC" w:rsidRPr="008D7B62" w:rsidRDefault="00CC19EC" w:rsidP="001D7292">
            <w:pPr>
              <w:pStyle w:val="06TertiaryHead"/>
              <w:spacing w:before="0"/>
              <w:jc w:val="both"/>
              <w:rPr>
                <w:rFonts w:asciiTheme="minorHAnsi" w:hAnsiTheme="minorHAnsi" w:cstheme="minorHAnsi"/>
                <w:b w:val="0"/>
                <w:bCs w:val="0"/>
              </w:rPr>
            </w:pPr>
          </w:p>
        </w:tc>
        <w:tc>
          <w:tcPr>
            <w:tcW w:w="5812" w:type="dxa"/>
          </w:tcPr>
          <w:p w14:paraId="5A864AF6" w14:textId="77777777" w:rsidR="00CC19EC" w:rsidRPr="003D0DB6" w:rsidRDefault="00CC19EC" w:rsidP="001D7292">
            <w:pPr>
              <w:pStyle w:val="06TertiaryHead"/>
              <w:jc w:val="both"/>
              <w:rPr>
                <w:rFonts w:asciiTheme="minorHAnsi" w:hAnsiTheme="minorHAnsi" w:cstheme="minorHAnsi"/>
                <w:b w:val="0"/>
                <w:bCs w:val="0"/>
              </w:rPr>
            </w:pPr>
            <w:r w:rsidRPr="003D0DB6">
              <w:rPr>
                <w:rFonts w:asciiTheme="minorHAnsi" w:hAnsiTheme="minorHAnsi" w:cstheme="minorHAnsi"/>
                <w:b w:val="0"/>
                <w:bCs w:val="0"/>
              </w:rPr>
              <w:t>Following an instance where an issuer held by one of the TGM Funds no longer had an available MSCI ESG rating, it was agreed that additional clarificatory wording should be included in the prospectus.</w:t>
            </w:r>
          </w:p>
          <w:p w14:paraId="6CF69CA7" w14:textId="77777777" w:rsidR="00CC19EC" w:rsidRPr="003D0DB6" w:rsidRDefault="00CC19EC" w:rsidP="001D7292">
            <w:pPr>
              <w:pStyle w:val="06TertiaryHead"/>
              <w:jc w:val="both"/>
              <w:rPr>
                <w:rFonts w:asciiTheme="minorHAnsi" w:hAnsiTheme="minorHAnsi" w:cstheme="minorHAnsi"/>
                <w:b w:val="0"/>
                <w:bCs w:val="0"/>
              </w:rPr>
            </w:pPr>
            <w:r w:rsidRPr="003D0DB6">
              <w:rPr>
                <w:rFonts w:asciiTheme="minorHAnsi" w:hAnsiTheme="minorHAnsi" w:cstheme="minorHAnsi"/>
                <w:b w:val="0"/>
                <w:bCs w:val="0"/>
              </w:rPr>
              <w:t xml:space="preserve">This wording confirms that any issuer whose MSCI ESG rating becomes unavailable while held by the Fund will be classified under ‘#2 other’. </w:t>
            </w:r>
          </w:p>
          <w:p w14:paraId="4BE491FA" w14:textId="77777777" w:rsidR="00CC19EC" w:rsidRPr="003D0DB6" w:rsidRDefault="00CC19EC" w:rsidP="001D7292">
            <w:pPr>
              <w:pStyle w:val="06TertiaryHead"/>
              <w:ind w:left="720"/>
              <w:jc w:val="both"/>
              <w:rPr>
                <w:rFonts w:asciiTheme="minorHAnsi" w:hAnsiTheme="minorHAnsi" w:cstheme="minorBidi"/>
                <w:b w:val="0"/>
                <w:bCs w:val="0"/>
              </w:rPr>
            </w:pPr>
          </w:p>
        </w:tc>
      </w:tr>
    </w:tbl>
    <w:p w14:paraId="0FA530CC" w14:textId="77777777" w:rsidR="00CC19EC" w:rsidRDefault="00CC19EC" w:rsidP="00CC19EC">
      <w:pPr>
        <w:ind w:left="0"/>
        <w:rPr>
          <w:rFonts w:cs="Arial"/>
          <w:szCs w:val="22"/>
        </w:rPr>
      </w:pPr>
    </w:p>
    <w:p w14:paraId="4F4DB1C3" w14:textId="77777777" w:rsidR="00CC19EC" w:rsidRDefault="00CC19EC" w:rsidP="00CC19EC">
      <w:pPr>
        <w:ind w:left="0"/>
        <w:rPr>
          <w:rFonts w:cs="Arial"/>
          <w:szCs w:val="22"/>
        </w:rPr>
      </w:pPr>
    </w:p>
    <w:p w14:paraId="72A973C2" w14:textId="77777777" w:rsidR="00CC19EC" w:rsidRDefault="00CC19EC" w:rsidP="00CC19EC">
      <w:pPr>
        <w:ind w:left="0"/>
        <w:rPr>
          <w:rFonts w:cs="Arial"/>
          <w:szCs w:val="22"/>
        </w:rPr>
      </w:pPr>
    </w:p>
    <w:p w14:paraId="69CAC539" w14:textId="77777777" w:rsidR="00CC19EC" w:rsidRDefault="00CC19EC" w:rsidP="00CC19EC">
      <w:pPr>
        <w:ind w:left="0"/>
        <w:rPr>
          <w:rFonts w:cs="Arial"/>
          <w:szCs w:val="22"/>
        </w:rPr>
      </w:pPr>
    </w:p>
    <w:p w14:paraId="22FCFD57" w14:textId="77777777" w:rsidR="00CC19EC" w:rsidRDefault="00CC19EC" w:rsidP="00CC19EC">
      <w:pPr>
        <w:ind w:left="0"/>
        <w:rPr>
          <w:rFonts w:cs="Arial"/>
          <w:szCs w:val="22"/>
        </w:rPr>
      </w:pPr>
    </w:p>
    <w:p w14:paraId="0AB26A10" w14:textId="77777777" w:rsidR="00CC19EC" w:rsidRPr="00FE692B" w:rsidRDefault="00CC19EC" w:rsidP="004A4A37">
      <w:pPr>
        <w:ind w:left="0"/>
        <w:jc w:val="both"/>
        <w:rPr>
          <w:rFonts w:cs="Arial"/>
          <w:color w:val="FF0000"/>
        </w:rPr>
      </w:pPr>
    </w:p>
    <w:sectPr w:rsidR="00CC19EC" w:rsidRPr="00FE692B" w:rsidSect="0079009F">
      <w:headerReference w:type="default" r:id="rId12"/>
      <w:footerReference w:type="even" r:id="rId13"/>
      <w:headerReference w:type="first" r:id="rId14"/>
      <w:footerReference w:type="first" r:id="rId15"/>
      <w:pgSz w:w="12240" w:h="15840"/>
      <w:pgMar w:top="2552" w:right="1440" w:bottom="426" w:left="1440" w:header="720" w:footer="59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020DA" w14:textId="77777777" w:rsidR="002319F4" w:rsidRDefault="002319F4">
      <w:r>
        <w:separator/>
      </w:r>
    </w:p>
  </w:endnote>
  <w:endnote w:type="continuationSeparator" w:id="0">
    <w:p w14:paraId="0600D3ED" w14:textId="77777777" w:rsidR="002319F4" w:rsidRDefault="00231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Narrow Bold">
    <w:panose1 w:val="020B0706020202030204"/>
    <w:charset w:val="00"/>
    <w:family w:val="auto"/>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E8C8" w14:textId="77777777" w:rsidR="0095167D" w:rsidRDefault="0095167D">
    <w:pPr>
      <w:framePr w:wrap="around" w:vAnchor="text" w:hAnchor="margin" w:xAlign="center" w:y="1"/>
    </w:pPr>
    <w:r>
      <w:fldChar w:fldCharType="begin"/>
    </w:r>
    <w:r>
      <w:instrText xml:space="preserve">PAGE  </w:instrText>
    </w:r>
    <w:r>
      <w:fldChar w:fldCharType="separate"/>
    </w:r>
    <w:r>
      <w:t>0</w:t>
    </w:r>
    <w:r>
      <w:fldChar w:fldCharType="end"/>
    </w:r>
  </w:p>
  <w:p w14:paraId="580EF9C0" w14:textId="77777777" w:rsidR="0095167D" w:rsidRDefault="0095167D"/>
  <w:p w14:paraId="51902453" w14:textId="77777777" w:rsidR="0095167D" w:rsidRDefault="0095167D"/>
  <w:p w14:paraId="21CE5B5F" w14:textId="77777777" w:rsidR="0095167D" w:rsidRDefault="0095167D"/>
  <w:p w14:paraId="04940F7A" w14:textId="77777777" w:rsidR="0095167D" w:rsidRDefault="0095167D"/>
  <w:p w14:paraId="3F226521" w14:textId="77777777" w:rsidR="0095167D" w:rsidRDefault="0095167D"/>
  <w:p w14:paraId="258E8A77" w14:textId="77777777" w:rsidR="0095167D" w:rsidRDefault="0095167D"/>
  <w:p w14:paraId="191B1A54" w14:textId="50FAD146" w:rsidR="0050429E" w:rsidRDefault="0050429E" w:rsidP="008B60E6"/>
  <w:p w14:paraId="1A161722" w14:textId="75F699F0" w:rsidR="007F6726" w:rsidRDefault="00194B04" w:rsidP="00194B04">
    <w:r>
      <w:rPr>
        <w:rFonts w:ascii="Calibri" w:hAnsi="Calibri" w:cs="Calibri"/>
        <w:color w:val="000000"/>
        <w:sz w:val="16"/>
      </w:rPr>
      <w:fldChar w:fldCharType="begin"/>
    </w:r>
    <w:r w:rsidRPr="00194B04">
      <w:rPr>
        <w:rFonts w:ascii="Calibri" w:hAnsi="Calibri" w:cs="Calibri"/>
        <w:color w:val="000000"/>
        <w:sz w:val="16"/>
      </w:rPr>
      <w:instrText xml:space="preserve">  DOCVARIABLE EfId \* MERGEFORMAT </w:instrText>
    </w:r>
    <w:r>
      <w:instrText xml:space="preserve"> </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Bold" w:eastAsia="Arial" w:hAnsi="Arial Narrow Bold" w:cs="Arial Narrow Bold"/>
        <w:b/>
        <w:bCs/>
        <w:color w:val="000000"/>
        <w:spacing w:val="0"/>
        <w:sz w:val="20"/>
        <w:szCs w:val="20"/>
        <w:lang w:val="en-US" w:eastAsia="en-US"/>
      </w:rPr>
      <w:id w:val="-1898422622"/>
      <w:docPartObj>
        <w:docPartGallery w:val="Page Numbers (Bottom of Page)"/>
        <w:docPartUnique/>
      </w:docPartObj>
    </w:sdtPr>
    <w:sdtEndPr>
      <w:rPr>
        <w:b w:val="0"/>
        <w:noProof/>
        <w:sz w:val="16"/>
        <w:szCs w:val="16"/>
        <w:lang w:val="en-GB"/>
      </w:rPr>
    </w:sdtEndPr>
    <w:sdtContent>
      <w:p w14:paraId="4370A098" w14:textId="77777777" w:rsidR="006A0244" w:rsidRPr="00934594" w:rsidRDefault="006A0244" w:rsidP="006A0244">
        <w:pPr>
          <w:pStyle w:val="Arial"/>
          <w:spacing w:after="10"/>
          <w:jc w:val="left"/>
        </w:pPr>
      </w:p>
      <w:p w14:paraId="6D17129A" w14:textId="77777777" w:rsidR="005E6D56" w:rsidRDefault="006A0244" w:rsidP="006A0244">
        <w:pPr>
          <w:pStyle w:val="08Usage"/>
          <w:spacing w:after="10"/>
          <w:jc w:val="center"/>
          <w:rPr>
            <w:noProof/>
            <w:sz w:val="16"/>
            <w:szCs w:val="16"/>
          </w:rPr>
        </w:pPr>
        <w:r>
          <w:rPr>
            <w:sz w:val="16"/>
            <w:szCs w:val="16"/>
          </w:rPr>
          <w:t>For Internal</w:t>
        </w:r>
        <w:r w:rsidRPr="00DB60EC">
          <w:rPr>
            <w:sz w:val="16"/>
            <w:szCs w:val="16"/>
          </w:rPr>
          <w:t xml:space="preserve"> Use Only / Not for Distribution to the Public</w:t>
        </w:r>
      </w:p>
    </w:sdtContent>
  </w:sdt>
  <w:p w14:paraId="6B541A2D" w14:textId="77777777" w:rsidR="005E6D56" w:rsidRDefault="005E6D56" w:rsidP="006A0244">
    <w:pPr>
      <w:pStyle w:val="08Usage"/>
      <w:spacing w:after="10"/>
      <w:jc w:val="center"/>
      <w:rPr>
        <w:noProof/>
        <w:sz w:val="16"/>
        <w:szCs w:val="16"/>
      </w:rPr>
    </w:pPr>
  </w:p>
  <w:p w14:paraId="0E73284D" w14:textId="3E10A633" w:rsidR="0050429E" w:rsidRDefault="0050429E" w:rsidP="00194B04">
    <w:pPr>
      <w:pStyle w:val="08Usage"/>
      <w:spacing w:after="1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9378A" w14:textId="77777777" w:rsidR="002319F4" w:rsidRDefault="002319F4">
      <w:r>
        <w:separator/>
      </w:r>
    </w:p>
  </w:footnote>
  <w:footnote w:type="continuationSeparator" w:id="0">
    <w:p w14:paraId="59A6C4ED" w14:textId="77777777" w:rsidR="002319F4" w:rsidRDefault="00231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7C6A" w14:textId="5DF4E3E4" w:rsidR="0095167D" w:rsidRDefault="00D50F4D" w:rsidP="00256160">
    <w:pPr>
      <w:ind w:left="0"/>
    </w:pPr>
    <w:r>
      <w:rPr>
        <w:noProof/>
        <w:lang w:val="en-US"/>
      </w:rPr>
      <w:drawing>
        <wp:anchor distT="0" distB="0" distL="114300" distR="114300" simplePos="0" relativeHeight="251658240" behindDoc="0" locked="1" layoutInCell="1" allowOverlap="1" wp14:anchorId="16D77ED1" wp14:editId="1AA16173">
          <wp:simplePos x="0" y="0"/>
          <wp:positionH relativeFrom="page">
            <wp:posOffset>5093335</wp:posOffset>
          </wp:positionH>
          <wp:positionV relativeFrom="page">
            <wp:posOffset>594360</wp:posOffset>
          </wp:positionV>
          <wp:extent cx="1801368" cy="274397"/>
          <wp:effectExtent l="0" t="0" r="8890" b="0"/>
          <wp:wrapNone/>
          <wp:docPr id="2093392855" name="Picture 209339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T_Logotype_1line_pos_0119.png"/>
                  <pic:cNvPicPr/>
                </pic:nvPicPr>
                <pic:blipFill>
                  <a:blip r:embed="rId1"/>
                  <a:stretch>
                    <a:fillRect/>
                  </a:stretch>
                </pic:blipFill>
                <pic:spPr>
                  <a:xfrm>
                    <a:off x="0" y="0"/>
                    <a:ext cx="1801368" cy="274397"/>
                  </a:xfrm>
                  <a:prstGeom prst="rect">
                    <a:avLst/>
                  </a:prstGeom>
                </pic:spPr>
              </pic:pic>
            </a:graphicData>
          </a:graphic>
          <wp14:sizeRelH relativeFrom="margin">
            <wp14:pctWidth>0</wp14:pctWidth>
          </wp14:sizeRelH>
          <wp14:sizeRelV relativeFrom="margin">
            <wp14:pctHeight>0</wp14:pctHeight>
          </wp14:sizeRelV>
        </wp:anchor>
      </w:drawing>
    </w:r>
  </w:p>
  <w:p w14:paraId="268FCB2A" w14:textId="77777777" w:rsidR="007F6726" w:rsidRDefault="007F67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D9C83" w14:textId="79B29CC8" w:rsidR="00EF1624" w:rsidRDefault="00F930EC" w:rsidP="00EF1624">
    <w:pPr>
      <w:ind w:left="0"/>
    </w:pPr>
    <w:r>
      <w:rPr>
        <w:noProof/>
        <w:lang w:val="en-US"/>
      </w:rPr>
      <w:drawing>
        <wp:anchor distT="0" distB="0" distL="114300" distR="114300" simplePos="0" relativeHeight="251658241" behindDoc="0" locked="0" layoutInCell="1" allowOverlap="1" wp14:anchorId="53BC67B9" wp14:editId="29A94607">
          <wp:simplePos x="0" y="0"/>
          <wp:positionH relativeFrom="page">
            <wp:posOffset>651747</wp:posOffset>
          </wp:positionH>
          <wp:positionV relativeFrom="page">
            <wp:posOffset>503555</wp:posOffset>
          </wp:positionV>
          <wp:extent cx="2532888" cy="932688"/>
          <wp:effectExtent l="0" t="0" r="0" b="0"/>
          <wp:wrapThrough wrapText="bothSides">
            <wp:wrapPolygon edited="0">
              <wp:start x="3412" y="5297"/>
              <wp:lineTo x="2762" y="7946"/>
              <wp:lineTo x="2112" y="11918"/>
              <wp:lineTo x="1787" y="15891"/>
              <wp:lineTo x="19336" y="15891"/>
              <wp:lineTo x="19661" y="12801"/>
              <wp:lineTo x="17549" y="5297"/>
              <wp:lineTo x="3412" y="5297"/>
            </wp:wrapPolygon>
          </wp:wrapThrough>
          <wp:docPr id="1325209110" name="Picture 1325209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I_pos_0114"/>
                  <pic:cNvPicPr>
                    <a:picLocks noChangeAspect="1" noChangeArrowheads="1"/>
                  </pic:cNvPicPr>
                </pic:nvPicPr>
                <pic:blipFill>
                  <a:blip r:embed="rId1"/>
                  <a:stretch>
                    <a:fillRect/>
                  </a:stretch>
                </pic:blipFill>
                <pic:spPr bwMode="auto">
                  <a:xfrm>
                    <a:off x="0" y="0"/>
                    <a:ext cx="2532888" cy="932688"/>
                  </a:xfrm>
                  <a:prstGeom prst="rect">
                    <a:avLst/>
                  </a:prstGeom>
                  <a:noFill/>
                  <a:ln>
                    <a:noFill/>
                  </a:ln>
                </pic:spPr>
              </pic:pic>
            </a:graphicData>
          </a:graphic>
          <wp14:sizeRelH relativeFrom="page">
            <wp14:pctWidth>0</wp14:pctWidth>
          </wp14:sizeRelH>
          <wp14:sizeRelV relativeFrom="page">
            <wp14:pctHeight>0</wp14:pctHeight>
          </wp14:sizeRelV>
        </wp:anchor>
      </w:drawing>
    </w:r>
    <w:r w:rsidR="00EF1624">
      <w:t xml:space="preserve">          </w:t>
    </w:r>
  </w:p>
  <w:p w14:paraId="31185B6E" w14:textId="43C1B7BD" w:rsidR="0095167D" w:rsidRPr="00EF1624" w:rsidRDefault="000F66B9" w:rsidP="00EF1624">
    <w:pPr>
      <w:pStyle w:val="Header"/>
    </w:pPr>
    <w:r>
      <w:rPr>
        <w:noProof/>
        <w:lang w:val="en-US"/>
      </w:rPr>
      <w:drawing>
        <wp:anchor distT="0" distB="0" distL="114300" distR="114300" simplePos="0" relativeHeight="251658242" behindDoc="0" locked="1" layoutInCell="1" allowOverlap="1" wp14:anchorId="400FB2D7" wp14:editId="666101CC">
          <wp:simplePos x="0" y="0"/>
          <wp:positionH relativeFrom="column">
            <wp:posOffset>0</wp:posOffset>
          </wp:positionH>
          <wp:positionV relativeFrom="paragraph">
            <wp:posOffset>668655</wp:posOffset>
          </wp:positionV>
          <wp:extent cx="5943600" cy="27305"/>
          <wp:effectExtent l="0" t="0" r="0" b="0"/>
          <wp:wrapNone/>
          <wp:docPr id="1319613239" name="Picture 13196132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
                  <a:stretch>
                    <a:fillRect/>
                  </a:stretch>
                </pic:blipFill>
                <pic:spPr>
                  <a:xfrm rot="10800000" flipH="1" flipV="1">
                    <a:off x="0" y="0"/>
                    <a:ext cx="5943600" cy="2730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5905"/>
    <w:multiLevelType w:val="hybridMultilevel"/>
    <w:tmpl w:val="995AAF68"/>
    <w:lvl w:ilvl="0" w:tplc="C4B27DA4">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C53285"/>
    <w:multiLevelType w:val="hybridMultilevel"/>
    <w:tmpl w:val="9E5E2770"/>
    <w:lvl w:ilvl="0" w:tplc="C4B27DA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C57ADD"/>
    <w:multiLevelType w:val="hybridMultilevel"/>
    <w:tmpl w:val="1ED895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71E18"/>
    <w:multiLevelType w:val="hybridMultilevel"/>
    <w:tmpl w:val="52109294"/>
    <w:lvl w:ilvl="0" w:tplc="C4B27DA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906BF7"/>
    <w:multiLevelType w:val="hybridMultilevel"/>
    <w:tmpl w:val="5FFA5DA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13020"/>
    <w:multiLevelType w:val="hybridMultilevel"/>
    <w:tmpl w:val="32F2E604"/>
    <w:lvl w:ilvl="0" w:tplc="C4B27DA4">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1B3611E3"/>
    <w:multiLevelType w:val="hybridMultilevel"/>
    <w:tmpl w:val="EB9AF5C0"/>
    <w:lvl w:ilvl="0" w:tplc="C4B27DA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642692C"/>
    <w:multiLevelType w:val="hybridMultilevel"/>
    <w:tmpl w:val="C26EA6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6525F7F"/>
    <w:multiLevelType w:val="hybridMultilevel"/>
    <w:tmpl w:val="551A1B66"/>
    <w:lvl w:ilvl="0" w:tplc="C4B27DA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5140B7"/>
    <w:multiLevelType w:val="hybridMultilevel"/>
    <w:tmpl w:val="01E2941A"/>
    <w:lvl w:ilvl="0" w:tplc="C4B27DA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E1349F"/>
    <w:multiLevelType w:val="hybridMultilevel"/>
    <w:tmpl w:val="CF64B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F366DB3"/>
    <w:multiLevelType w:val="hybridMultilevel"/>
    <w:tmpl w:val="644E5B08"/>
    <w:lvl w:ilvl="0" w:tplc="C4B27DA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3230FC"/>
    <w:multiLevelType w:val="hybridMultilevel"/>
    <w:tmpl w:val="D766E4CC"/>
    <w:lvl w:ilvl="0" w:tplc="C4B27DA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97717A"/>
    <w:multiLevelType w:val="hybridMultilevel"/>
    <w:tmpl w:val="45F8B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C22E4D"/>
    <w:multiLevelType w:val="hybridMultilevel"/>
    <w:tmpl w:val="F6CA5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A25F11"/>
    <w:multiLevelType w:val="multilevel"/>
    <w:tmpl w:val="0C427B9C"/>
    <w:styleLink w:val="07bBodyBullet"/>
    <w:lvl w:ilvl="0">
      <w:start w:val="1"/>
      <w:numFmt w:val="bullet"/>
      <w:pStyle w:val="05Body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154FA3"/>
    <w:multiLevelType w:val="hybridMultilevel"/>
    <w:tmpl w:val="CAA0D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E80489"/>
    <w:multiLevelType w:val="hybridMultilevel"/>
    <w:tmpl w:val="39BC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AA6FB4"/>
    <w:multiLevelType w:val="hybridMultilevel"/>
    <w:tmpl w:val="2B5E3514"/>
    <w:lvl w:ilvl="0" w:tplc="808E61A6">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E6642A"/>
    <w:multiLevelType w:val="hybridMultilevel"/>
    <w:tmpl w:val="FA58C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5A76E8"/>
    <w:multiLevelType w:val="hybridMultilevel"/>
    <w:tmpl w:val="C4102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B67F91"/>
    <w:multiLevelType w:val="hybridMultilevel"/>
    <w:tmpl w:val="660EA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D5104F"/>
    <w:multiLevelType w:val="multilevel"/>
    <w:tmpl w:val="0C427B9C"/>
    <w:numStyleLink w:val="07bBodyBullet"/>
  </w:abstractNum>
  <w:abstractNum w:abstractNumId="23" w15:restartNumberingAfterBreak="0">
    <w:nsid w:val="6A59188F"/>
    <w:multiLevelType w:val="hybridMultilevel"/>
    <w:tmpl w:val="41D621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F04342"/>
    <w:multiLevelType w:val="hybridMultilevel"/>
    <w:tmpl w:val="F9305E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B13D1F"/>
    <w:multiLevelType w:val="hybridMultilevel"/>
    <w:tmpl w:val="761C7178"/>
    <w:lvl w:ilvl="0" w:tplc="93ACB3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C756FD"/>
    <w:multiLevelType w:val="hybridMultilevel"/>
    <w:tmpl w:val="C00294FE"/>
    <w:lvl w:ilvl="0" w:tplc="E42E4BD2">
      <w:start w:val="8"/>
      <w:numFmt w:val="bullet"/>
      <w:lvlText w:val="-"/>
      <w:lvlJc w:val="left"/>
      <w:pPr>
        <w:ind w:left="360" w:hanging="360"/>
      </w:pPr>
      <w:rPr>
        <w:rFonts w:ascii="Calibri" w:eastAsiaTheme="minorEastAsia"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98703EE"/>
    <w:multiLevelType w:val="hybridMultilevel"/>
    <w:tmpl w:val="E63C17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6E5065"/>
    <w:multiLevelType w:val="hybridMultilevel"/>
    <w:tmpl w:val="784448F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D8773D9"/>
    <w:multiLevelType w:val="multilevel"/>
    <w:tmpl w:val="342A9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7721870">
    <w:abstractNumId w:val="15"/>
  </w:num>
  <w:num w:numId="2" w16cid:durableId="1036811553">
    <w:abstractNumId w:val="22"/>
  </w:num>
  <w:num w:numId="3" w16cid:durableId="918487497">
    <w:abstractNumId w:val="29"/>
  </w:num>
  <w:num w:numId="4" w16cid:durableId="234366602">
    <w:abstractNumId w:val="8"/>
  </w:num>
  <w:num w:numId="5" w16cid:durableId="1833984385">
    <w:abstractNumId w:val="23"/>
  </w:num>
  <w:num w:numId="6" w16cid:durableId="605696352">
    <w:abstractNumId w:val="25"/>
  </w:num>
  <w:num w:numId="7" w16cid:durableId="436098108">
    <w:abstractNumId w:val="14"/>
  </w:num>
  <w:num w:numId="8" w16cid:durableId="38094159">
    <w:abstractNumId w:val="11"/>
  </w:num>
  <w:num w:numId="9" w16cid:durableId="1647011512">
    <w:abstractNumId w:val="21"/>
  </w:num>
  <w:num w:numId="10" w16cid:durableId="1889225843">
    <w:abstractNumId w:val="5"/>
  </w:num>
  <w:num w:numId="11" w16cid:durableId="1718121161">
    <w:abstractNumId w:val="16"/>
  </w:num>
  <w:num w:numId="12" w16cid:durableId="804275693">
    <w:abstractNumId w:val="17"/>
  </w:num>
  <w:num w:numId="13" w16cid:durableId="1405880872">
    <w:abstractNumId w:val="20"/>
  </w:num>
  <w:num w:numId="14" w16cid:durableId="2086298452">
    <w:abstractNumId w:val="19"/>
  </w:num>
  <w:num w:numId="15" w16cid:durableId="466123687">
    <w:abstractNumId w:val="1"/>
  </w:num>
  <w:num w:numId="16" w16cid:durableId="1230994407">
    <w:abstractNumId w:val="9"/>
  </w:num>
  <w:num w:numId="17" w16cid:durableId="77556834">
    <w:abstractNumId w:val="13"/>
  </w:num>
  <w:num w:numId="18" w16cid:durableId="1699234542">
    <w:abstractNumId w:val="6"/>
  </w:num>
  <w:num w:numId="19" w16cid:durableId="314800266">
    <w:abstractNumId w:val="2"/>
  </w:num>
  <w:num w:numId="20" w16cid:durableId="2051225507">
    <w:abstractNumId w:val="4"/>
  </w:num>
  <w:num w:numId="21" w16cid:durableId="1963337240">
    <w:abstractNumId w:val="7"/>
  </w:num>
  <w:num w:numId="22" w16cid:durableId="1934821021">
    <w:abstractNumId w:val="24"/>
  </w:num>
  <w:num w:numId="23" w16cid:durableId="1693260373">
    <w:abstractNumId w:val="26"/>
  </w:num>
  <w:num w:numId="24" w16cid:durableId="1777023392">
    <w:abstractNumId w:val="28"/>
  </w:num>
  <w:num w:numId="25" w16cid:durableId="1314141886">
    <w:abstractNumId w:val="18"/>
  </w:num>
  <w:num w:numId="26" w16cid:durableId="1660688715">
    <w:abstractNumId w:val="27"/>
  </w:num>
  <w:num w:numId="27" w16cid:durableId="1964647643">
    <w:abstractNumId w:val="3"/>
  </w:num>
  <w:num w:numId="28" w16cid:durableId="565336352">
    <w:abstractNumId w:val="10"/>
  </w:num>
  <w:num w:numId="29" w16cid:durableId="254872540">
    <w:abstractNumId w:val="12"/>
  </w:num>
  <w:num w:numId="30" w16cid:durableId="153650104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fillcolor="#3f80cd" strokecolor="#4a7ebb">
      <v:fill color="#3f80cd" color2="#9bc1ff" focusposition="" focussize=",90" type="gradient">
        <o:fill v:ext="view" type="gradientUnscaled"/>
      </v:fill>
      <v:stroke color="#4a7ebb" weight="1.5pt"/>
      <v:shadow on="t" opacity="22938f" offset="0"/>
      <v:textbox inset=",7.2pt,,7.2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E4D"/>
    <w:rsid w:val="00001979"/>
    <w:rsid w:val="00006FE7"/>
    <w:rsid w:val="00015A8F"/>
    <w:rsid w:val="00020B89"/>
    <w:rsid w:val="00021544"/>
    <w:rsid w:val="000228A2"/>
    <w:rsid w:val="0002599E"/>
    <w:rsid w:val="00025E61"/>
    <w:rsid w:val="000270AC"/>
    <w:rsid w:val="00027127"/>
    <w:rsid w:val="000309C5"/>
    <w:rsid w:val="00032766"/>
    <w:rsid w:val="00036167"/>
    <w:rsid w:val="00036FB6"/>
    <w:rsid w:val="00040468"/>
    <w:rsid w:val="00043648"/>
    <w:rsid w:val="00046416"/>
    <w:rsid w:val="00046486"/>
    <w:rsid w:val="000501B4"/>
    <w:rsid w:val="00054F09"/>
    <w:rsid w:val="00060418"/>
    <w:rsid w:val="0006351E"/>
    <w:rsid w:val="00063918"/>
    <w:rsid w:val="000652CC"/>
    <w:rsid w:val="00073566"/>
    <w:rsid w:val="00074F67"/>
    <w:rsid w:val="0008531B"/>
    <w:rsid w:val="000925E0"/>
    <w:rsid w:val="00093883"/>
    <w:rsid w:val="00096B32"/>
    <w:rsid w:val="000A352F"/>
    <w:rsid w:val="000C3CC0"/>
    <w:rsid w:val="000C412D"/>
    <w:rsid w:val="000C4DE4"/>
    <w:rsid w:val="000C52D1"/>
    <w:rsid w:val="000C5738"/>
    <w:rsid w:val="000C575B"/>
    <w:rsid w:val="000C7B82"/>
    <w:rsid w:val="000D0375"/>
    <w:rsid w:val="000D4009"/>
    <w:rsid w:val="000D40E8"/>
    <w:rsid w:val="000D4E51"/>
    <w:rsid w:val="000D5C59"/>
    <w:rsid w:val="000E175A"/>
    <w:rsid w:val="000E3202"/>
    <w:rsid w:val="000F1335"/>
    <w:rsid w:val="000F66B9"/>
    <w:rsid w:val="000F6873"/>
    <w:rsid w:val="000F71D6"/>
    <w:rsid w:val="000F7383"/>
    <w:rsid w:val="00101116"/>
    <w:rsid w:val="0010281A"/>
    <w:rsid w:val="00102B2A"/>
    <w:rsid w:val="0010305A"/>
    <w:rsid w:val="00103277"/>
    <w:rsid w:val="001063CF"/>
    <w:rsid w:val="00107DD6"/>
    <w:rsid w:val="00111E6C"/>
    <w:rsid w:val="001144D1"/>
    <w:rsid w:val="00116651"/>
    <w:rsid w:val="00117268"/>
    <w:rsid w:val="001221BB"/>
    <w:rsid w:val="00122CFD"/>
    <w:rsid w:val="0012386D"/>
    <w:rsid w:val="00124E06"/>
    <w:rsid w:val="00132DB1"/>
    <w:rsid w:val="00135811"/>
    <w:rsid w:val="00135FE7"/>
    <w:rsid w:val="00141493"/>
    <w:rsid w:val="00144E3E"/>
    <w:rsid w:val="0015029C"/>
    <w:rsid w:val="0015130D"/>
    <w:rsid w:val="00154F0E"/>
    <w:rsid w:val="001557A0"/>
    <w:rsid w:val="00156E68"/>
    <w:rsid w:val="00160A03"/>
    <w:rsid w:val="00161BD1"/>
    <w:rsid w:val="00163110"/>
    <w:rsid w:val="00166623"/>
    <w:rsid w:val="001706FE"/>
    <w:rsid w:val="00176F72"/>
    <w:rsid w:val="001829AC"/>
    <w:rsid w:val="00184A34"/>
    <w:rsid w:val="00184B51"/>
    <w:rsid w:val="0019042D"/>
    <w:rsid w:val="00190E78"/>
    <w:rsid w:val="001939F3"/>
    <w:rsid w:val="00194B04"/>
    <w:rsid w:val="001A1D7C"/>
    <w:rsid w:val="001A6B69"/>
    <w:rsid w:val="001B16B1"/>
    <w:rsid w:val="001B4449"/>
    <w:rsid w:val="001B61C9"/>
    <w:rsid w:val="001B6D81"/>
    <w:rsid w:val="001C4C00"/>
    <w:rsid w:val="001C65B0"/>
    <w:rsid w:val="001C7F0C"/>
    <w:rsid w:val="001D0F17"/>
    <w:rsid w:val="001D3417"/>
    <w:rsid w:val="001D3889"/>
    <w:rsid w:val="001D3C2E"/>
    <w:rsid w:val="001D439A"/>
    <w:rsid w:val="001D707D"/>
    <w:rsid w:val="001E3287"/>
    <w:rsid w:val="001E40CD"/>
    <w:rsid w:val="001E6617"/>
    <w:rsid w:val="001E6AC6"/>
    <w:rsid w:val="001E70E0"/>
    <w:rsid w:val="001F046B"/>
    <w:rsid w:val="001F551D"/>
    <w:rsid w:val="00201E05"/>
    <w:rsid w:val="002021E6"/>
    <w:rsid w:val="0020444F"/>
    <w:rsid w:val="002057CD"/>
    <w:rsid w:val="0020797E"/>
    <w:rsid w:val="002141EB"/>
    <w:rsid w:val="00214429"/>
    <w:rsid w:val="00214BE9"/>
    <w:rsid w:val="00215977"/>
    <w:rsid w:val="00215E1A"/>
    <w:rsid w:val="002211EE"/>
    <w:rsid w:val="0022386C"/>
    <w:rsid w:val="002243B7"/>
    <w:rsid w:val="00225310"/>
    <w:rsid w:val="00230020"/>
    <w:rsid w:val="002319F4"/>
    <w:rsid w:val="00233F4C"/>
    <w:rsid w:val="00234AA5"/>
    <w:rsid w:val="00235AC7"/>
    <w:rsid w:val="00235E12"/>
    <w:rsid w:val="0023611B"/>
    <w:rsid w:val="0024302D"/>
    <w:rsid w:val="0024662B"/>
    <w:rsid w:val="00247186"/>
    <w:rsid w:val="00247F45"/>
    <w:rsid w:val="00251346"/>
    <w:rsid w:val="002527A2"/>
    <w:rsid w:val="00252BAF"/>
    <w:rsid w:val="00255488"/>
    <w:rsid w:val="00255F46"/>
    <w:rsid w:val="00256160"/>
    <w:rsid w:val="002574A6"/>
    <w:rsid w:val="00260A3B"/>
    <w:rsid w:val="002625B9"/>
    <w:rsid w:val="00262D64"/>
    <w:rsid w:val="00263DD9"/>
    <w:rsid w:val="00264A71"/>
    <w:rsid w:val="00266DF8"/>
    <w:rsid w:val="002706C2"/>
    <w:rsid w:val="00272E33"/>
    <w:rsid w:val="00275B22"/>
    <w:rsid w:val="00280A9F"/>
    <w:rsid w:val="00290BA2"/>
    <w:rsid w:val="002910BB"/>
    <w:rsid w:val="002956D5"/>
    <w:rsid w:val="0029676F"/>
    <w:rsid w:val="00297B44"/>
    <w:rsid w:val="002A4A79"/>
    <w:rsid w:val="002A574D"/>
    <w:rsid w:val="002A57DD"/>
    <w:rsid w:val="002A5D3A"/>
    <w:rsid w:val="002A7E17"/>
    <w:rsid w:val="002B028E"/>
    <w:rsid w:val="002B258C"/>
    <w:rsid w:val="002B405F"/>
    <w:rsid w:val="002C02EE"/>
    <w:rsid w:val="002C1537"/>
    <w:rsid w:val="002C2120"/>
    <w:rsid w:val="002C2580"/>
    <w:rsid w:val="002C345A"/>
    <w:rsid w:val="002C5293"/>
    <w:rsid w:val="002C5426"/>
    <w:rsid w:val="002C5779"/>
    <w:rsid w:val="002C6B08"/>
    <w:rsid w:val="002C7FBD"/>
    <w:rsid w:val="002D016C"/>
    <w:rsid w:val="002D2343"/>
    <w:rsid w:val="002D42DE"/>
    <w:rsid w:val="002D443A"/>
    <w:rsid w:val="002D4D5D"/>
    <w:rsid w:val="002E0684"/>
    <w:rsid w:val="002E5FCE"/>
    <w:rsid w:val="002E6256"/>
    <w:rsid w:val="002E6451"/>
    <w:rsid w:val="002E7A3B"/>
    <w:rsid w:val="002E7B66"/>
    <w:rsid w:val="002F0BE6"/>
    <w:rsid w:val="002F7253"/>
    <w:rsid w:val="002F7760"/>
    <w:rsid w:val="002F7917"/>
    <w:rsid w:val="00300001"/>
    <w:rsid w:val="00300A8B"/>
    <w:rsid w:val="0030217C"/>
    <w:rsid w:val="00302258"/>
    <w:rsid w:val="0030241C"/>
    <w:rsid w:val="0030471B"/>
    <w:rsid w:val="00304D62"/>
    <w:rsid w:val="00305BAE"/>
    <w:rsid w:val="0031574D"/>
    <w:rsid w:val="00315774"/>
    <w:rsid w:val="00321B92"/>
    <w:rsid w:val="003248B0"/>
    <w:rsid w:val="003256F9"/>
    <w:rsid w:val="00326B20"/>
    <w:rsid w:val="00327DDD"/>
    <w:rsid w:val="0033146C"/>
    <w:rsid w:val="003316D6"/>
    <w:rsid w:val="00331C75"/>
    <w:rsid w:val="0033240B"/>
    <w:rsid w:val="00332BB9"/>
    <w:rsid w:val="003531E2"/>
    <w:rsid w:val="00353C25"/>
    <w:rsid w:val="0035563A"/>
    <w:rsid w:val="0036029F"/>
    <w:rsid w:val="003602BE"/>
    <w:rsid w:val="00360F90"/>
    <w:rsid w:val="00366739"/>
    <w:rsid w:val="00376474"/>
    <w:rsid w:val="0038239C"/>
    <w:rsid w:val="00383F40"/>
    <w:rsid w:val="00387242"/>
    <w:rsid w:val="003906F6"/>
    <w:rsid w:val="00391118"/>
    <w:rsid w:val="00392661"/>
    <w:rsid w:val="00392E31"/>
    <w:rsid w:val="003A3106"/>
    <w:rsid w:val="003A746E"/>
    <w:rsid w:val="003B5021"/>
    <w:rsid w:val="003B509E"/>
    <w:rsid w:val="003B59B4"/>
    <w:rsid w:val="003C0AC9"/>
    <w:rsid w:val="003C5481"/>
    <w:rsid w:val="003D0A1B"/>
    <w:rsid w:val="003D24D3"/>
    <w:rsid w:val="003D6D3A"/>
    <w:rsid w:val="003E0606"/>
    <w:rsid w:val="003E0DE9"/>
    <w:rsid w:val="003E7FB8"/>
    <w:rsid w:val="003F31F9"/>
    <w:rsid w:val="003F3B61"/>
    <w:rsid w:val="00401257"/>
    <w:rsid w:val="0040281E"/>
    <w:rsid w:val="0040637D"/>
    <w:rsid w:val="0041353F"/>
    <w:rsid w:val="00413612"/>
    <w:rsid w:val="00413D3E"/>
    <w:rsid w:val="00413DB4"/>
    <w:rsid w:val="00416AC6"/>
    <w:rsid w:val="00420EA7"/>
    <w:rsid w:val="00424FD1"/>
    <w:rsid w:val="00435FA8"/>
    <w:rsid w:val="00436FAC"/>
    <w:rsid w:val="00437883"/>
    <w:rsid w:val="00443EC5"/>
    <w:rsid w:val="00450D57"/>
    <w:rsid w:val="004642D8"/>
    <w:rsid w:val="00464A6C"/>
    <w:rsid w:val="0046654F"/>
    <w:rsid w:val="00466FF8"/>
    <w:rsid w:val="00470F46"/>
    <w:rsid w:val="00472050"/>
    <w:rsid w:val="004723A3"/>
    <w:rsid w:val="0047420C"/>
    <w:rsid w:val="00474250"/>
    <w:rsid w:val="00477729"/>
    <w:rsid w:val="004810C2"/>
    <w:rsid w:val="004810C9"/>
    <w:rsid w:val="00485B0E"/>
    <w:rsid w:val="00485C9B"/>
    <w:rsid w:val="00486165"/>
    <w:rsid w:val="004904BA"/>
    <w:rsid w:val="004918DE"/>
    <w:rsid w:val="00493766"/>
    <w:rsid w:val="00494DDD"/>
    <w:rsid w:val="00496A32"/>
    <w:rsid w:val="0049700B"/>
    <w:rsid w:val="004A0005"/>
    <w:rsid w:val="004A0B92"/>
    <w:rsid w:val="004A3ED7"/>
    <w:rsid w:val="004A4A37"/>
    <w:rsid w:val="004A4AD0"/>
    <w:rsid w:val="004A5DAE"/>
    <w:rsid w:val="004A6608"/>
    <w:rsid w:val="004A69F2"/>
    <w:rsid w:val="004B04A8"/>
    <w:rsid w:val="004B1DF8"/>
    <w:rsid w:val="004B1EF3"/>
    <w:rsid w:val="004B273C"/>
    <w:rsid w:val="004B2BCD"/>
    <w:rsid w:val="004B2EED"/>
    <w:rsid w:val="004B3202"/>
    <w:rsid w:val="004B6F6E"/>
    <w:rsid w:val="004B7998"/>
    <w:rsid w:val="004C063D"/>
    <w:rsid w:val="004C1787"/>
    <w:rsid w:val="004C3367"/>
    <w:rsid w:val="004D07FD"/>
    <w:rsid w:val="004D2D46"/>
    <w:rsid w:val="004E1433"/>
    <w:rsid w:val="004E2863"/>
    <w:rsid w:val="004E33DA"/>
    <w:rsid w:val="004E4404"/>
    <w:rsid w:val="004E76FD"/>
    <w:rsid w:val="004F40A1"/>
    <w:rsid w:val="004F5894"/>
    <w:rsid w:val="004F7D73"/>
    <w:rsid w:val="00501174"/>
    <w:rsid w:val="0050202D"/>
    <w:rsid w:val="0050429E"/>
    <w:rsid w:val="005058E5"/>
    <w:rsid w:val="00506DAB"/>
    <w:rsid w:val="005104EA"/>
    <w:rsid w:val="005128BA"/>
    <w:rsid w:val="0051564B"/>
    <w:rsid w:val="0052241D"/>
    <w:rsid w:val="00524074"/>
    <w:rsid w:val="00524D21"/>
    <w:rsid w:val="005266A2"/>
    <w:rsid w:val="00531FBB"/>
    <w:rsid w:val="005335AC"/>
    <w:rsid w:val="005409D2"/>
    <w:rsid w:val="00542180"/>
    <w:rsid w:val="00542C61"/>
    <w:rsid w:val="00544AF2"/>
    <w:rsid w:val="00550255"/>
    <w:rsid w:val="0055174F"/>
    <w:rsid w:val="00553CCA"/>
    <w:rsid w:val="005550ED"/>
    <w:rsid w:val="00556B76"/>
    <w:rsid w:val="00562E1A"/>
    <w:rsid w:val="00562F24"/>
    <w:rsid w:val="005646E1"/>
    <w:rsid w:val="00570EFD"/>
    <w:rsid w:val="0057333D"/>
    <w:rsid w:val="005762A8"/>
    <w:rsid w:val="00577882"/>
    <w:rsid w:val="005827F4"/>
    <w:rsid w:val="00584208"/>
    <w:rsid w:val="00584B1A"/>
    <w:rsid w:val="005878D3"/>
    <w:rsid w:val="00592754"/>
    <w:rsid w:val="00592811"/>
    <w:rsid w:val="00594187"/>
    <w:rsid w:val="005970B9"/>
    <w:rsid w:val="00597485"/>
    <w:rsid w:val="005A063A"/>
    <w:rsid w:val="005A1229"/>
    <w:rsid w:val="005A3EB7"/>
    <w:rsid w:val="005A51E8"/>
    <w:rsid w:val="005B143E"/>
    <w:rsid w:val="005B7956"/>
    <w:rsid w:val="005C3911"/>
    <w:rsid w:val="005C6941"/>
    <w:rsid w:val="005C7391"/>
    <w:rsid w:val="005D0270"/>
    <w:rsid w:val="005D077C"/>
    <w:rsid w:val="005D0D2A"/>
    <w:rsid w:val="005D109F"/>
    <w:rsid w:val="005D509E"/>
    <w:rsid w:val="005E1372"/>
    <w:rsid w:val="005E14B0"/>
    <w:rsid w:val="005E1F4F"/>
    <w:rsid w:val="005E2904"/>
    <w:rsid w:val="005E6099"/>
    <w:rsid w:val="005E6D56"/>
    <w:rsid w:val="005E74AB"/>
    <w:rsid w:val="005F079B"/>
    <w:rsid w:val="005F1AAC"/>
    <w:rsid w:val="005F3E24"/>
    <w:rsid w:val="005F66CA"/>
    <w:rsid w:val="005F72BB"/>
    <w:rsid w:val="0060372C"/>
    <w:rsid w:val="006101D9"/>
    <w:rsid w:val="0061029B"/>
    <w:rsid w:val="006111FB"/>
    <w:rsid w:val="006118CC"/>
    <w:rsid w:val="006163E3"/>
    <w:rsid w:val="00621976"/>
    <w:rsid w:val="00621C23"/>
    <w:rsid w:val="00627FBA"/>
    <w:rsid w:val="00630348"/>
    <w:rsid w:val="00631F9C"/>
    <w:rsid w:val="00635916"/>
    <w:rsid w:val="00635AB1"/>
    <w:rsid w:val="00637E8A"/>
    <w:rsid w:val="006410EE"/>
    <w:rsid w:val="006436A5"/>
    <w:rsid w:val="00651784"/>
    <w:rsid w:val="0065378E"/>
    <w:rsid w:val="00653F47"/>
    <w:rsid w:val="00657FDE"/>
    <w:rsid w:val="00662C16"/>
    <w:rsid w:val="00665A62"/>
    <w:rsid w:val="00666200"/>
    <w:rsid w:val="00666348"/>
    <w:rsid w:val="0066753A"/>
    <w:rsid w:val="00670943"/>
    <w:rsid w:val="0067173A"/>
    <w:rsid w:val="00680FDB"/>
    <w:rsid w:val="00681010"/>
    <w:rsid w:val="006818DA"/>
    <w:rsid w:val="006854DB"/>
    <w:rsid w:val="00685CED"/>
    <w:rsid w:val="00686210"/>
    <w:rsid w:val="0069042B"/>
    <w:rsid w:val="0069350F"/>
    <w:rsid w:val="006936FD"/>
    <w:rsid w:val="00693AAB"/>
    <w:rsid w:val="00694B93"/>
    <w:rsid w:val="006A0244"/>
    <w:rsid w:val="006A1A08"/>
    <w:rsid w:val="006A440B"/>
    <w:rsid w:val="006B2CF7"/>
    <w:rsid w:val="006B4BBD"/>
    <w:rsid w:val="006C0820"/>
    <w:rsid w:val="006C0C5E"/>
    <w:rsid w:val="006C136E"/>
    <w:rsid w:val="006C5414"/>
    <w:rsid w:val="006C5D87"/>
    <w:rsid w:val="006C6C2D"/>
    <w:rsid w:val="006C71C1"/>
    <w:rsid w:val="006D0639"/>
    <w:rsid w:val="006D6311"/>
    <w:rsid w:val="006D6FC9"/>
    <w:rsid w:val="006E33AC"/>
    <w:rsid w:val="006E36A1"/>
    <w:rsid w:val="006E4DA7"/>
    <w:rsid w:val="006E6A47"/>
    <w:rsid w:val="006E6B4E"/>
    <w:rsid w:val="006F45DA"/>
    <w:rsid w:val="006F7A5C"/>
    <w:rsid w:val="00701283"/>
    <w:rsid w:val="0070367A"/>
    <w:rsid w:val="0070433A"/>
    <w:rsid w:val="0070494D"/>
    <w:rsid w:val="007110CD"/>
    <w:rsid w:val="00713980"/>
    <w:rsid w:val="007163AE"/>
    <w:rsid w:val="00720EBD"/>
    <w:rsid w:val="007228FB"/>
    <w:rsid w:val="00724D0C"/>
    <w:rsid w:val="007250F5"/>
    <w:rsid w:val="00725B55"/>
    <w:rsid w:val="00727AED"/>
    <w:rsid w:val="00731C7C"/>
    <w:rsid w:val="00732666"/>
    <w:rsid w:val="00732DF7"/>
    <w:rsid w:val="00733549"/>
    <w:rsid w:val="00735138"/>
    <w:rsid w:val="007359F3"/>
    <w:rsid w:val="007414DB"/>
    <w:rsid w:val="00743053"/>
    <w:rsid w:val="0074643A"/>
    <w:rsid w:val="007502E8"/>
    <w:rsid w:val="00760F1B"/>
    <w:rsid w:val="00762F7A"/>
    <w:rsid w:val="0076677F"/>
    <w:rsid w:val="00772BD8"/>
    <w:rsid w:val="00775566"/>
    <w:rsid w:val="00776489"/>
    <w:rsid w:val="00781FA7"/>
    <w:rsid w:val="00784637"/>
    <w:rsid w:val="00784FB1"/>
    <w:rsid w:val="0079009F"/>
    <w:rsid w:val="007907C3"/>
    <w:rsid w:val="00791511"/>
    <w:rsid w:val="00792672"/>
    <w:rsid w:val="0079450C"/>
    <w:rsid w:val="007950E6"/>
    <w:rsid w:val="00796CE3"/>
    <w:rsid w:val="00797FDE"/>
    <w:rsid w:val="007A10D2"/>
    <w:rsid w:val="007A1451"/>
    <w:rsid w:val="007A1900"/>
    <w:rsid w:val="007A1AAA"/>
    <w:rsid w:val="007A38A3"/>
    <w:rsid w:val="007A4E71"/>
    <w:rsid w:val="007A4FB8"/>
    <w:rsid w:val="007B1D14"/>
    <w:rsid w:val="007B252F"/>
    <w:rsid w:val="007B3644"/>
    <w:rsid w:val="007B691C"/>
    <w:rsid w:val="007B6E01"/>
    <w:rsid w:val="007B7745"/>
    <w:rsid w:val="007C2074"/>
    <w:rsid w:val="007C2AFD"/>
    <w:rsid w:val="007C2BF6"/>
    <w:rsid w:val="007C2C6B"/>
    <w:rsid w:val="007D10EF"/>
    <w:rsid w:val="007D3BF7"/>
    <w:rsid w:val="007E4271"/>
    <w:rsid w:val="007E4494"/>
    <w:rsid w:val="007F6726"/>
    <w:rsid w:val="007F7DB2"/>
    <w:rsid w:val="008031A4"/>
    <w:rsid w:val="0080621E"/>
    <w:rsid w:val="008079A6"/>
    <w:rsid w:val="00811010"/>
    <w:rsid w:val="008127BA"/>
    <w:rsid w:val="0081316D"/>
    <w:rsid w:val="0081573A"/>
    <w:rsid w:val="0081588A"/>
    <w:rsid w:val="008168F9"/>
    <w:rsid w:val="0082011A"/>
    <w:rsid w:val="008212E7"/>
    <w:rsid w:val="00821E3D"/>
    <w:rsid w:val="00821F0F"/>
    <w:rsid w:val="00824580"/>
    <w:rsid w:val="008252B2"/>
    <w:rsid w:val="008276A1"/>
    <w:rsid w:val="00827FC4"/>
    <w:rsid w:val="00831AAF"/>
    <w:rsid w:val="00831FE1"/>
    <w:rsid w:val="00833B9F"/>
    <w:rsid w:val="00835D0B"/>
    <w:rsid w:val="00835DE9"/>
    <w:rsid w:val="00836D1B"/>
    <w:rsid w:val="00837E90"/>
    <w:rsid w:val="0084192C"/>
    <w:rsid w:val="00842E78"/>
    <w:rsid w:val="00850F6F"/>
    <w:rsid w:val="00851C4C"/>
    <w:rsid w:val="00852EDE"/>
    <w:rsid w:val="00855C93"/>
    <w:rsid w:val="00857E92"/>
    <w:rsid w:val="008610E8"/>
    <w:rsid w:val="00861267"/>
    <w:rsid w:val="00864B91"/>
    <w:rsid w:val="00864E5A"/>
    <w:rsid w:val="008665DA"/>
    <w:rsid w:val="00867CDB"/>
    <w:rsid w:val="00870CA6"/>
    <w:rsid w:val="00873624"/>
    <w:rsid w:val="0087692E"/>
    <w:rsid w:val="00881D12"/>
    <w:rsid w:val="00882400"/>
    <w:rsid w:val="008870BE"/>
    <w:rsid w:val="00893D59"/>
    <w:rsid w:val="00895B29"/>
    <w:rsid w:val="008960F1"/>
    <w:rsid w:val="00896C53"/>
    <w:rsid w:val="008A0301"/>
    <w:rsid w:val="008A06BB"/>
    <w:rsid w:val="008A1126"/>
    <w:rsid w:val="008A1254"/>
    <w:rsid w:val="008A5B12"/>
    <w:rsid w:val="008A5DE4"/>
    <w:rsid w:val="008A6018"/>
    <w:rsid w:val="008A71EE"/>
    <w:rsid w:val="008B42D0"/>
    <w:rsid w:val="008B60E6"/>
    <w:rsid w:val="008B68B0"/>
    <w:rsid w:val="008C1AFC"/>
    <w:rsid w:val="008C3887"/>
    <w:rsid w:val="008C49D4"/>
    <w:rsid w:val="008C5485"/>
    <w:rsid w:val="008C6764"/>
    <w:rsid w:val="008E2C04"/>
    <w:rsid w:val="008E348A"/>
    <w:rsid w:val="008E4FCD"/>
    <w:rsid w:val="008E538E"/>
    <w:rsid w:val="008F1541"/>
    <w:rsid w:val="008F41C1"/>
    <w:rsid w:val="008F47B6"/>
    <w:rsid w:val="008F5645"/>
    <w:rsid w:val="008F66E1"/>
    <w:rsid w:val="0090189F"/>
    <w:rsid w:val="00902766"/>
    <w:rsid w:val="00902C51"/>
    <w:rsid w:val="00910567"/>
    <w:rsid w:val="00917B6A"/>
    <w:rsid w:val="00920474"/>
    <w:rsid w:val="009210F3"/>
    <w:rsid w:val="0092248D"/>
    <w:rsid w:val="0092296E"/>
    <w:rsid w:val="00922A0D"/>
    <w:rsid w:val="00924C2F"/>
    <w:rsid w:val="00925BDC"/>
    <w:rsid w:val="00927C88"/>
    <w:rsid w:val="00932F49"/>
    <w:rsid w:val="00934594"/>
    <w:rsid w:val="0093626E"/>
    <w:rsid w:val="00944500"/>
    <w:rsid w:val="00945081"/>
    <w:rsid w:val="00946915"/>
    <w:rsid w:val="00950B3D"/>
    <w:rsid w:val="0095167D"/>
    <w:rsid w:val="00951A3B"/>
    <w:rsid w:val="00955636"/>
    <w:rsid w:val="00957C13"/>
    <w:rsid w:val="00957C2E"/>
    <w:rsid w:val="0096318E"/>
    <w:rsid w:val="00964A4F"/>
    <w:rsid w:val="009659FA"/>
    <w:rsid w:val="009702F9"/>
    <w:rsid w:val="009730E4"/>
    <w:rsid w:val="00974BDB"/>
    <w:rsid w:val="00975138"/>
    <w:rsid w:val="009753FE"/>
    <w:rsid w:val="00975D6C"/>
    <w:rsid w:val="0098008E"/>
    <w:rsid w:val="00980466"/>
    <w:rsid w:val="00980D60"/>
    <w:rsid w:val="0098194C"/>
    <w:rsid w:val="0098425F"/>
    <w:rsid w:val="00992D27"/>
    <w:rsid w:val="0099417C"/>
    <w:rsid w:val="0099675E"/>
    <w:rsid w:val="009A3DC3"/>
    <w:rsid w:val="009A6C46"/>
    <w:rsid w:val="009B0381"/>
    <w:rsid w:val="009B1B44"/>
    <w:rsid w:val="009B2EE8"/>
    <w:rsid w:val="009B4961"/>
    <w:rsid w:val="009B4E7D"/>
    <w:rsid w:val="009C1704"/>
    <w:rsid w:val="009C323E"/>
    <w:rsid w:val="009C4189"/>
    <w:rsid w:val="009C5A08"/>
    <w:rsid w:val="009C6BC5"/>
    <w:rsid w:val="009C6DFC"/>
    <w:rsid w:val="009C7FF4"/>
    <w:rsid w:val="009D60B8"/>
    <w:rsid w:val="009E42E0"/>
    <w:rsid w:val="009E4C52"/>
    <w:rsid w:val="009F0808"/>
    <w:rsid w:val="009F3E75"/>
    <w:rsid w:val="009F7AA1"/>
    <w:rsid w:val="00A03AEF"/>
    <w:rsid w:val="00A052FC"/>
    <w:rsid w:val="00A113E8"/>
    <w:rsid w:val="00A11E4D"/>
    <w:rsid w:val="00A13DA5"/>
    <w:rsid w:val="00A16D49"/>
    <w:rsid w:val="00A1760D"/>
    <w:rsid w:val="00A17A59"/>
    <w:rsid w:val="00A2131D"/>
    <w:rsid w:val="00A22C3B"/>
    <w:rsid w:val="00A254F3"/>
    <w:rsid w:val="00A26B64"/>
    <w:rsid w:val="00A30687"/>
    <w:rsid w:val="00A3269D"/>
    <w:rsid w:val="00A33146"/>
    <w:rsid w:val="00A33635"/>
    <w:rsid w:val="00A3706A"/>
    <w:rsid w:val="00A42757"/>
    <w:rsid w:val="00A42B03"/>
    <w:rsid w:val="00A4455D"/>
    <w:rsid w:val="00A45CA8"/>
    <w:rsid w:val="00A5293B"/>
    <w:rsid w:val="00A53007"/>
    <w:rsid w:val="00A542E5"/>
    <w:rsid w:val="00A57672"/>
    <w:rsid w:val="00A61B2B"/>
    <w:rsid w:val="00A61DF2"/>
    <w:rsid w:val="00A6415D"/>
    <w:rsid w:val="00A641D5"/>
    <w:rsid w:val="00A64707"/>
    <w:rsid w:val="00A71D17"/>
    <w:rsid w:val="00A71E09"/>
    <w:rsid w:val="00A73724"/>
    <w:rsid w:val="00A74E27"/>
    <w:rsid w:val="00A80A34"/>
    <w:rsid w:val="00A83494"/>
    <w:rsid w:val="00A83EE0"/>
    <w:rsid w:val="00A85016"/>
    <w:rsid w:val="00A85B3C"/>
    <w:rsid w:val="00A85C53"/>
    <w:rsid w:val="00A87819"/>
    <w:rsid w:val="00A96B0C"/>
    <w:rsid w:val="00AA0C41"/>
    <w:rsid w:val="00AA4765"/>
    <w:rsid w:val="00AB0A5A"/>
    <w:rsid w:val="00AB234F"/>
    <w:rsid w:val="00AB5EC5"/>
    <w:rsid w:val="00AC092A"/>
    <w:rsid w:val="00AC2D64"/>
    <w:rsid w:val="00AD0687"/>
    <w:rsid w:val="00AD13BC"/>
    <w:rsid w:val="00AD1D93"/>
    <w:rsid w:val="00AD23BD"/>
    <w:rsid w:val="00AD2CC4"/>
    <w:rsid w:val="00AD4D90"/>
    <w:rsid w:val="00AD616E"/>
    <w:rsid w:val="00AD66EE"/>
    <w:rsid w:val="00AD6B2D"/>
    <w:rsid w:val="00AE1607"/>
    <w:rsid w:val="00AE277B"/>
    <w:rsid w:val="00AE35C4"/>
    <w:rsid w:val="00AF0F85"/>
    <w:rsid w:val="00AF1F2A"/>
    <w:rsid w:val="00AF3695"/>
    <w:rsid w:val="00AF38E2"/>
    <w:rsid w:val="00AF6717"/>
    <w:rsid w:val="00B004B2"/>
    <w:rsid w:val="00B00504"/>
    <w:rsid w:val="00B011A4"/>
    <w:rsid w:val="00B01379"/>
    <w:rsid w:val="00B05030"/>
    <w:rsid w:val="00B05B4E"/>
    <w:rsid w:val="00B0746C"/>
    <w:rsid w:val="00B1067E"/>
    <w:rsid w:val="00B1368A"/>
    <w:rsid w:val="00B14C8F"/>
    <w:rsid w:val="00B17BDE"/>
    <w:rsid w:val="00B20D04"/>
    <w:rsid w:val="00B227AF"/>
    <w:rsid w:val="00B229A0"/>
    <w:rsid w:val="00B279B1"/>
    <w:rsid w:val="00B27C99"/>
    <w:rsid w:val="00B30F0A"/>
    <w:rsid w:val="00B31478"/>
    <w:rsid w:val="00B337BE"/>
    <w:rsid w:val="00B36F0C"/>
    <w:rsid w:val="00B401F5"/>
    <w:rsid w:val="00B4235A"/>
    <w:rsid w:val="00B4480A"/>
    <w:rsid w:val="00B456BA"/>
    <w:rsid w:val="00B4607C"/>
    <w:rsid w:val="00B4631B"/>
    <w:rsid w:val="00B46F32"/>
    <w:rsid w:val="00B476BB"/>
    <w:rsid w:val="00B479DE"/>
    <w:rsid w:val="00B51002"/>
    <w:rsid w:val="00B54646"/>
    <w:rsid w:val="00B55EFC"/>
    <w:rsid w:val="00B610B5"/>
    <w:rsid w:val="00B6126F"/>
    <w:rsid w:val="00B61A5D"/>
    <w:rsid w:val="00B62083"/>
    <w:rsid w:val="00B6236C"/>
    <w:rsid w:val="00B73E2F"/>
    <w:rsid w:val="00B7721A"/>
    <w:rsid w:val="00B77725"/>
    <w:rsid w:val="00B8026E"/>
    <w:rsid w:val="00B80503"/>
    <w:rsid w:val="00B812C8"/>
    <w:rsid w:val="00B82C43"/>
    <w:rsid w:val="00B858DE"/>
    <w:rsid w:val="00B863B2"/>
    <w:rsid w:val="00B8724E"/>
    <w:rsid w:val="00B872D4"/>
    <w:rsid w:val="00B917B6"/>
    <w:rsid w:val="00B9278C"/>
    <w:rsid w:val="00B931E5"/>
    <w:rsid w:val="00B94BCA"/>
    <w:rsid w:val="00BA2B5D"/>
    <w:rsid w:val="00BA33B2"/>
    <w:rsid w:val="00BA34F1"/>
    <w:rsid w:val="00BB0A00"/>
    <w:rsid w:val="00BB1937"/>
    <w:rsid w:val="00BB6EE7"/>
    <w:rsid w:val="00BC7C8A"/>
    <w:rsid w:val="00BC7C93"/>
    <w:rsid w:val="00BD4AD7"/>
    <w:rsid w:val="00BD5AB6"/>
    <w:rsid w:val="00BD7CDE"/>
    <w:rsid w:val="00BE02C6"/>
    <w:rsid w:val="00BE0AE7"/>
    <w:rsid w:val="00BE1E48"/>
    <w:rsid w:val="00BE7659"/>
    <w:rsid w:val="00BF20AD"/>
    <w:rsid w:val="00BF5569"/>
    <w:rsid w:val="00BF6DBF"/>
    <w:rsid w:val="00C00B29"/>
    <w:rsid w:val="00C042DC"/>
    <w:rsid w:val="00C04A02"/>
    <w:rsid w:val="00C04EB3"/>
    <w:rsid w:val="00C05B71"/>
    <w:rsid w:val="00C05D89"/>
    <w:rsid w:val="00C0685C"/>
    <w:rsid w:val="00C154AB"/>
    <w:rsid w:val="00C15A28"/>
    <w:rsid w:val="00C15A91"/>
    <w:rsid w:val="00C24C3C"/>
    <w:rsid w:val="00C26CAA"/>
    <w:rsid w:val="00C31D23"/>
    <w:rsid w:val="00C32516"/>
    <w:rsid w:val="00C346DC"/>
    <w:rsid w:val="00C34DAA"/>
    <w:rsid w:val="00C363EC"/>
    <w:rsid w:val="00C37686"/>
    <w:rsid w:val="00C37F7A"/>
    <w:rsid w:val="00C40A42"/>
    <w:rsid w:val="00C427B2"/>
    <w:rsid w:val="00C453AA"/>
    <w:rsid w:val="00C45FA9"/>
    <w:rsid w:val="00C504D6"/>
    <w:rsid w:val="00C5674F"/>
    <w:rsid w:val="00C71C15"/>
    <w:rsid w:val="00C73A75"/>
    <w:rsid w:val="00C741CA"/>
    <w:rsid w:val="00C7542D"/>
    <w:rsid w:val="00C77BD8"/>
    <w:rsid w:val="00C80855"/>
    <w:rsid w:val="00C823BF"/>
    <w:rsid w:val="00C852F7"/>
    <w:rsid w:val="00C85343"/>
    <w:rsid w:val="00C862D8"/>
    <w:rsid w:val="00C86DE0"/>
    <w:rsid w:val="00C86E32"/>
    <w:rsid w:val="00C900DC"/>
    <w:rsid w:val="00C91548"/>
    <w:rsid w:val="00C94BF9"/>
    <w:rsid w:val="00CB3C18"/>
    <w:rsid w:val="00CB5EBA"/>
    <w:rsid w:val="00CB6F13"/>
    <w:rsid w:val="00CC15DC"/>
    <w:rsid w:val="00CC19EC"/>
    <w:rsid w:val="00CC27D0"/>
    <w:rsid w:val="00CC69D4"/>
    <w:rsid w:val="00CD17C2"/>
    <w:rsid w:val="00CD2A30"/>
    <w:rsid w:val="00CD338A"/>
    <w:rsid w:val="00CD48FA"/>
    <w:rsid w:val="00CD4DCC"/>
    <w:rsid w:val="00CE004C"/>
    <w:rsid w:val="00CE53B1"/>
    <w:rsid w:val="00CE65A3"/>
    <w:rsid w:val="00CE6A0B"/>
    <w:rsid w:val="00CE6B03"/>
    <w:rsid w:val="00CE7EC5"/>
    <w:rsid w:val="00CF2CA5"/>
    <w:rsid w:val="00CF47C7"/>
    <w:rsid w:val="00D02149"/>
    <w:rsid w:val="00D07830"/>
    <w:rsid w:val="00D1095B"/>
    <w:rsid w:val="00D126E9"/>
    <w:rsid w:val="00D13321"/>
    <w:rsid w:val="00D135FA"/>
    <w:rsid w:val="00D1542D"/>
    <w:rsid w:val="00D1658D"/>
    <w:rsid w:val="00D17E69"/>
    <w:rsid w:val="00D23FB1"/>
    <w:rsid w:val="00D269CF"/>
    <w:rsid w:val="00D311CF"/>
    <w:rsid w:val="00D3241D"/>
    <w:rsid w:val="00D40DD5"/>
    <w:rsid w:val="00D43E15"/>
    <w:rsid w:val="00D44FA2"/>
    <w:rsid w:val="00D45D0F"/>
    <w:rsid w:val="00D47127"/>
    <w:rsid w:val="00D50854"/>
    <w:rsid w:val="00D50F4D"/>
    <w:rsid w:val="00D52CE9"/>
    <w:rsid w:val="00D530F2"/>
    <w:rsid w:val="00D55A4A"/>
    <w:rsid w:val="00D60121"/>
    <w:rsid w:val="00D62C9B"/>
    <w:rsid w:val="00D642DE"/>
    <w:rsid w:val="00D6769A"/>
    <w:rsid w:val="00D728D4"/>
    <w:rsid w:val="00D74609"/>
    <w:rsid w:val="00D77618"/>
    <w:rsid w:val="00D80234"/>
    <w:rsid w:val="00D81EBD"/>
    <w:rsid w:val="00D84EAA"/>
    <w:rsid w:val="00D87308"/>
    <w:rsid w:val="00D877B3"/>
    <w:rsid w:val="00D87E7B"/>
    <w:rsid w:val="00D9061A"/>
    <w:rsid w:val="00D927EE"/>
    <w:rsid w:val="00D954C3"/>
    <w:rsid w:val="00D972FA"/>
    <w:rsid w:val="00DA02A7"/>
    <w:rsid w:val="00DA1E7C"/>
    <w:rsid w:val="00DA4EF1"/>
    <w:rsid w:val="00DA5AFB"/>
    <w:rsid w:val="00DB0636"/>
    <w:rsid w:val="00DB3AF2"/>
    <w:rsid w:val="00DC249C"/>
    <w:rsid w:val="00DD0624"/>
    <w:rsid w:val="00DD3172"/>
    <w:rsid w:val="00DD3309"/>
    <w:rsid w:val="00DD6659"/>
    <w:rsid w:val="00DD7BCF"/>
    <w:rsid w:val="00DE2086"/>
    <w:rsid w:val="00DE3F51"/>
    <w:rsid w:val="00DE4EAB"/>
    <w:rsid w:val="00DE4EDA"/>
    <w:rsid w:val="00DE5AD2"/>
    <w:rsid w:val="00DE6648"/>
    <w:rsid w:val="00DE7CCB"/>
    <w:rsid w:val="00DF0DFD"/>
    <w:rsid w:val="00DF5F4C"/>
    <w:rsid w:val="00DF60C2"/>
    <w:rsid w:val="00DF7293"/>
    <w:rsid w:val="00DF7F23"/>
    <w:rsid w:val="00E028DE"/>
    <w:rsid w:val="00E06619"/>
    <w:rsid w:val="00E1226D"/>
    <w:rsid w:val="00E12D6E"/>
    <w:rsid w:val="00E1339B"/>
    <w:rsid w:val="00E2216C"/>
    <w:rsid w:val="00E222A4"/>
    <w:rsid w:val="00E23CA8"/>
    <w:rsid w:val="00E27705"/>
    <w:rsid w:val="00E27B05"/>
    <w:rsid w:val="00E27F8E"/>
    <w:rsid w:val="00E31A95"/>
    <w:rsid w:val="00E3211B"/>
    <w:rsid w:val="00E33BF6"/>
    <w:rsid w:val="00E35ADC"/>
    <w:rsid w:val="00E37827"/>
    <w:rsid w:val="00E42E36"/>
    <w:rsid w:val="00E51BE7"/>
    <w:rsid w:val="00E53D49"/>
    <w:rsid w:val="00E547DE"/>
    <w:rsid w:val="00E5709B"/>
    <w:rsid w:val="00E61BE8"/>
    <w:rsid w:val="00E66976"/>
    <w:rsid w:val="00E67C95"/>
    <w:rsid w:val="00E70E5B"/>
    <w:rsid w:val="00E71408"/>
    <w:rsid w:val="00E72587"/>
    <w:rsid w:val="00E739BC"/>
    <w:rsid w:val="00E74068"/>
    <w:rsid w:val="00E748E1"/>
    <w:rsid w:val="00E928AB"/>
    <w:rsid w:val="00E963A8"/>
    <w:rsid w:val="00E96FCF"/>
    <w:rsid w:val="00E97A37"/>
    <w:rsid w:val="00EA1ECE"/>
    <w:rsid w:val="00EA554F"/>
    <w:rsid w:val="00EB01B4"/>
    <w:rsid w:val="00EB355B"/>
    <w:rsid w:val="00EB47D1"/>
    <w:rsid w:val="00EB6477"/>
    <w:rsid w:val="00EB6DC9"/>
    <w:rsid w:val="00EB6F34"/>
    <w:rsid w:val="00EB7EEB"/>
    <w:rsid w:val="00EC4117"/>
    <w:rsid w:val="00EC4DC5"/>
    <w:rsid w:val="00EC5C9C"/>
    <w:rsid w:val="00ED021D"/>
    <w:rsid w:val="00ED0706"/>
    <w:rsid w:val="00EE0D37"/>
    <w:rsid w:val="00EE1E23"/>
    <w:rsid w:val="00EE6400"/>
    <w:rsid w:val="00EE659E"/>
    <w:rsid w:val="00EE6E89"/>
    <w:rsid w:val="00EF1624"/>
    <w:rsid w:val="00F03201"/>
    <w:rsid w:val="00F0432F"/>
    <w:rsid w:val="00F0461C"/>
    <w:rsid w:val="00F05029"/>
    <w:rsid w:val="00F053BF"/>
    <w:rsid w:val="00F05835"/>
    <w:rsid w:val="00F12A5E"/>
    <w:rsid w:val="00F13202"/>
    <w:rsid w:val="00F13C8D"/>
    <w:rsid w:val="00F179AA"/>
    <w:rsid w:val="00F235D8"/>
    <w:rsid w:val="00F336E2"/>
    <w:rsid w:val="00F341E8"/>
    <w:rsid w:val="00F34F0D"/>
    <w:rsid w:val="00F36FEE"/>
    <w:rsid w:val="00F408BF"/>
    <w:rsid w:val="00F4470C"/>
    <w:rsid w:val="00F50128"/>
    <w:rsid w:val="00F56489"/>
    <w:rsid w:val="00F63666"/>
    <w:rsid w:val="00F67756"/>
    <w:rsid w:val="00F73007"/>
    <w:rsid w:val="00F73FD3"/>
    <w:rsid w:val="00F7437C"/>
    <w:rsid w:val="00F778BF"/>
    <w:rsid w:val="00F81BFB"/>
    <w:rsid w:val="00F847E1"/>
    <w:rsid w:val="00F84E87"/>
    <w:rsid w:val="00F91BD1"/>
    <w:rsid w:val="00F92FA3"/>
    <w:rsid w:val="00F930EC"/>
    <w:rsid w:val="00F936E5"/>
    <w:rsid w:val="00F95F3C"/>
    <w:rsid w:val="00F9646A"/>
    <w:rsid w:val="00F966D3"/>
    <w:rsid w:val="00FA6520"/>
    <w:rsid w:val="00FA6A84"/>
    <w:rsid w:val="00FB08FC"/>
    <w:rsid w:val="00FB11D1"/>
    <w:rsid w:val="00FC669E"/>
    <w:rsid w:val="00FD1F1A"/>
    <w:rsid w:val="00FD6D71"/>
    <w:rsid w:val="00FD76C4"/>
    <w:rsid w:val="00FE1F4D"/>
    <w:rsid w:val="00FE4383"/>
    <w:rsid w:val="00FE49DC"/>
    <w:rsid w:val="00FE692B"/>
    <w:rsid w:val="00FF128D"/>
    <w:rsid w:val="00FF19B6"/>
    <w:rsid w:val="00FF3F77"/>
    <w:rsid w:val="00FF6FD7"/>
    <w:rsid w:val="00FF7CA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3f80cd" strokecolor="#4a7ebb">
      <v:fill color="#3f80cd" color2="#9bc1ff" focusposition="" focussize=",90" type="gradient">
        <o:fill v:ext="view" type="gradientUnscaled"/>
      </v:fill>
      <v:stroke color="#4a7ebb" weight="1.5pt"/>
      <v:shadow on="t" opacity="22938f" offset="0"/>
      <v:textbox inset=",7.2pt,,7.2pt"/>
    </o:shapedefaults>
    <o:shapelayout v:ext="edit">
      <o:idmap v:ext="edit" data="2"/>
    </o:shapelayout>
  </w:shapeDefaults>
  <w:decimalSymbol w:val="."/>
  <w:listSeparator w:val=","/>
  <w14:docId w14:val="32989F73"/>
  <w15:docId w15:val="{F8C013D2-3098-4483-AEDD-DD40778E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F6F"/>
    <w:pPr>
      <w:ind w:left="835"/>
    </w:pPr>
    <w:rPr>
      <w:rFonts w:ascii="Arial" w:hAnsi="Arial"/>
      <w:spacing w:val="-5"/>
      <w:lang w:val="en-GB"/>
    </w:rPr>
  </w:style>
  <w:style w:type="paragraph" w:styleId="Heading1">
    <w:name w:val="heading 1"/>
    <w:basedOn w:val="Normal"/>
    <w:next w:val="Normal"/>
    <w:qFormat/>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Normal"/>
    <w:qFormat/>
    <w:pPr>
      <w:keepNext/>
      <w:keepLines/>
      <w:spacing w:line="200" w:lineRule="atLeast"/>
      <w:outlineLvl w:val="1"/>
    </w:pPr>
    <w:rPr>
      <w:rFonts w:ascii="Arial Black" w:hAnsi="Arial Black"/>
      <w:spacing w:val="-10"/>
      <w:kern w:val="28"/>
    </w:rPr>
  </w:style>
  <w:style w:type="paragraph" w:styleId="Heading3">
    <w:name w:val="heading 3"/>
    <w:basedOn w:val="Normal"/>
    <w:next w:val="Normal"/>
    <w:qFormat/>
    <w:pPr>
      <w:keepNext/>
      <w:keepLines/>
      <w:spacing w:line="180" w:lineRule="atLeast"/>
      <w:ind w:left="1195"/>
      <w:outlineLvl w:val="2"/>
    </w:pPr>
    <w:rPr>
      <w:rFonts w:ascii="Arial Black" w:hAnsi="Arial Black"/>
      <w:kern w:val="28"/>
    </w:rPr>
  </w:style>
  <w:style w:type="paragraph" w:styleId="Heading4">
    <w:name w:val="heading 4"/>
    <w:basedOn w:val="Normal"/>
    <w:next w:val="Normal"/>
    <w:qFormat/>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Normal"/>
    <w:qFormat/>
    <w:pPr>
      <w:keepNext/>
      <w:keepLines/>
      <w:spacing w:line="180" w:lineRule="atLeast"/>
      <w:ind w:left="1915"/>
      <w:outlineLvl w:val="4"/>
    </w:pPr>
    <w:rPr>
      <w:rFonts w:ascii="Arial Black" w:hAnsi="Arial Black"/>
      <w:spacing w:val="-2"/>
      <w:kern w:val="28"/>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0A3B"/>
    <w:pPr>
      <w:tabs>
        <w:tab w:val="center" w:pos="4680"/>
        <w:tab w:val="right" w:pos="9360"/>
      </w:tabs>
    </w:pPr>
  </w:style>
  <w:style w:type="numbering" w:customStyle="1" w:styleId="07bBodyBullet">
    <w:name w:val="07b Body Bullet"/>
    <w:basedOn w:val="NoList"/>
    <w:rsid w:val="00260A3B"/>
    <w:pPr>
      <w:numPr>
        <w:numId w:val="1"/>
      </w:numPr>
    </w:pPr>
  </w:style>
  <w:style w:type="character" w:customStyle="1" w:styleId="HeaderChar">
    <w:name w:val="Header Char"/>
    <w:basedOn w:val="DefaultParagraphFont"/>
    <w:link w:val="Header"/>
    <w:uiPriority w:val="99"/>
    <w:rsid w:val="00260A3B"/>
    <w:rPr>
      <w:rFonts w:ascii="Arial" w:hAnsi="Arial"/>
      <w:spacing w:val="-5"/>
    </w:rPr>
  </w:style>
  <w:style w:type="paragraph" w:styleId="Footer">
    <w:name w:val="footer"/>
    <w:basedOn w:val="Normal"/>
    <w:link w:val="FooterChar"/>
    <w:uiPriority w:val="99"/>
    <w:unhideWhenUsed/>
    <w:rsid w:val="00260A3B"/>
    <w:pPr>
      <w:tabs>
        <w:tab w:val="center" w:pos="4680"/>
        <w:tab w:val="right" w:pos="9360"/>
      </w:tabs>
    </w:pPr>
  </w:style>
  <w:style w:type="character" w:customStyle="1" w:styleId="FooterChar">
    <w:name w:val="Footer Char"/>
    <w:basedOn w:val="DefaultParagraphFont"/>
    <w:link w:val="Footer"/>
    <w:uiPriority w:val="99"/>
    <w:rsid w:val="00260A3B"/>
    <w:rPr>
      <w:rFonts w:ascii="Arial" w:hAnsi="Arial"/>
      <w:spacing w:val="-5"/>
    </w:rPr>
  </w:style>
  <w:style w:type="table" w:styleId="TableGrid">
    <w:name w:val="Table Grid"/>
    <w:basedOn w:val="TableNormal"/>
    <w:uiPriority w:val="39"/>
    <w:rsid w:val="007467F9"/>
    <w:pPr>
      <w:ind w:left="83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BodyBullet">
    <w:name w:val="05 Body Bullet"/>
    <w:basedOn w:val="04Body"/>
    <w:qFormat/>
    <w:rsid w:val="00896C53"/>
    <w:pPr>
      <w:numPr>
        <w:numId w:val="2"/>
      </w:numPr>
      <w:ind w:left="180" w:hanging="180"/>
    </w:pPr>
  </w:style>
  <w:style w:type="paragraph" w:customStyle="1" w:styleId="04Body">
    <w:name w:val="04 Body"/>
    <w:basedOn w:val="Normal"/>
    <w:qFormat/>
    <w:rsid w:val="00A30D23"/>
    <w:pPr>
      <w:spacing w:line="260" w:lineRule="exact"/>
      <w:ind w:left="0"/>
    </w:pPr>
    <w:rPr>
      <w:rFonts w:ascii="Times New Roman" w:eastAsia="Cambria" w:hAnsi="Times New Roman"/>
      <w:spacing w:val="0"/>
      <w:sz w:val="22"/>
      <w:szCs w:val="24"/>
    </w:rPr>
  </w:style>
  <w:style w:type="paragraph" w:styleId="NormalWeb">
    <w:name w:val="Normal (Web)"/>
    <w:basedOn w:val="Normal"/>
    <w:uiPriority w:val="99"/>
    <w:semiHidden/>
    <w:unhideWhenUsed/>
    <w:rsid w:val="00B7721A"/>
    <w:pPr>
      <w:spacing w:before="100" w:beforeAutospacing="1" w:after="100" w:afterAutospacing="1"/>
      <w:ind w:left="0"/>
    </w:pPr>
    <w:rPr>
      <w:rFonts w:ascii="Times New Roman" w:eastAsiaTheme="minorEastAsia" w:hAnsi="Times New Roman"/>
      <w:spacing w:val="0"/>
      <w:sz w:val="24"/>
      <w:szCs w:val="24"/>
    </w:rPr>
  </w:style>
  <w:style w:type="paragraph" w:customStyle="1" w:styleId="01LegalEntity">
    <w:name w:val="01 Legal Entity"/>
    <w:rsid w:val="004B273C"/>
    <w:pPr>
      <w:spacing w:line="180" w:lineRule="exact"/>
    </w:pPr>
    <w:rPr>
      <w:rFonts w:ascii="Arial" w:hAnsi="Arial"/>
      <w:b/>
      <w:bCs/>
      <w:color w:val="005598"/>
      <w:sz w:val="15"/>
    </w:rPr>
  </w:style>
  <w:style w:type="paragraph" w:customStyle="1" w:styleId="02Address">
    <w:name w:val="02 Address"/>
    <w:basedOn w:val="Normal"/>
    <w:rsid w:val="00001979"/>
    <w:pPr>
      <w:framePr w:hSpace="187" w:wrap="around" w:vAnchor="text" w:hAnchor="page" w:x="7971" w:y="301"/>
      <w:spacing w:after="30" w:line="180" w:lineRule="exact"/>
      <w:ind w:left="0" w:right="-115"/>
    </w:pPr>
    <w:rPr>
      <w:spacing w:val="0"/>
      <w:sz w:val="15"/>
    </w:rPr>
  </w:style>
  <w:style w:type="paragraph" w:customStyle="1" w:styleId="03ContactInfo">
    <w:name w:val="03 Contact Info"/>
    <w:basedOn w:val="Normal"/>
    <w:rsid w:val="00260A3B"/>
    <w:pPr>
      <w:framePr w:hSpace="187" w:wrap="around" w:vAnchor="text" w:hAnchor="page" w:x="8425" w:y="-3023"/>
      <w:tabs>
        <w:tab w:val="left" w:pos="270"/>
      </w:tabs>
      <w:spacing w:line="180" w:lineRule="exact"/>
      <w:ind w:left="0"/>
      <w:suppressOverlap/>
    </w:pPr>
    <w:rPr>
      <w:rFonts w:eastAsia="Cambria" w:cs="Arial"/>
      <w:spacing w:val="6"/>
      <w:sz w:val="15"/>
      <w:szCs w:val="15"/>
    </w:rPr>
  </w:style>
  <w:style w:type="paragraph" w:customStyle="1" w:styleId="06continued">
    <w:name w:val="06 (continued)"/>
    <w:basedOn w:val="04Body"/>
    <w:rsid w:val="004B273C"/>
    <w:pPr>
      <w:jc w:val="right"/>
    </w:pPr>
    <w:rPr>
      <w:rFonts w:eastAsia="Times New Roman"/>
      <w:i/>
      <w:iCs/>
      <w:szCs w:val="20"/>
    </w:rPr>
  </w:style>
  <w:style w:type="paragraph" w:customStyle="1" w:styleId="07Disclosurecopy">
    <w:name w:val="07 Disclosure copy"/>
    <w:basedOn w:val="Normal"/>
    <w:qFormat/>
    <w:rsid w:val="002F7253"/>
    <w:pPr>
      <w:tabs>
        <w:tab w:val="left" w:pos="720"/>
        <w:tab w:val="center" w:pos="4320"/>
        <w:tab w:val="right" w:pos="8640"/>
      </w:tabs>
      <w:spacing w:after="120" w:line="260" w:lineRule="exact"/>
      <w:ind w:left="0"/>
    </w:pPr>
    <w:rPr>
      <w:rFonts w:ascii="Arial Narrow" w:eastAsia="Cambria" w:hAnsi="Arial Narrow"/>
      <w:spacing w:val="-4"/>
      <w:sz w:val="16"/>
      <w:szCs w:val="16"/>
    </w:rPr>
  </w:style>
  <w:style w:type="paragraph" w:customStyle="1" w:styleId="08Usage">
    <w:name w:val="08 Usage"/>
    <w:basedOn w:val="Normal"/>
    <w:qFormat/>
    <w:rsid w:val="002F7253"/>
    <w:pPr>
      <w:tabs>
        <w:tab w:val="right" w:pos="6660"/>
        <w:tab w:val="right" w:pos="8020"/>
      </w:tabs>
      <w:autoSpaceDE w:val="0"/>
      <w:autoSpaceDN w:val="0"/>
      <w:adjustRightInd w:val="0"/>
      <w:spacing w:line="200" w:lineRule="atLeast"/>
      <w:ind w:left="0"/>
      <w:textAlignment w:val="center"/>
    </w:pPr>
    <w:rPr>
      <w:rFonts w:ascii="Arial Narrow Bold" w:eastAsia="Arial" w:hAnsi="Arial Narrow Bold" w:cs="Arial Narrow Bold"/>
      <w:bCs/>
      <w:color w:val="000000"/>
      <w:spacing w:val="0"/>
    </w:rPr>
  </w:style>
  <w:style w:type="paragraph" w:customStyle="1" w:styleId="09BankCaveat">
    <w:name w:val="09  Bank Caveat"/>
    <w:basedOn w:val="NormalWeb"/>
    <w:qFormat/>
    <w:rsid w:val="002F7253"/>
    <w:pPr>
      <w:spacing w:before="0" w:beforeAutospacing="0" w:after="0" w:afterAutospacing="0"/>
      <w:ind w:right="-37"/>
      <w:jc w:val="center"/>
      <w:textAlignment w:val="baseline"/>
    </w:pPr>
    <w:rPr>
      <w:rFonts w:ascii="Arial Narrow Bold" w:eastAsia="Arial" w:hAnsi="Arial Narrow Bold" w:cs="Arial Narrow Bold"/>
      <w:bCs/>
      <w:color w:val="000000"/>
      <w:position w:val="-2"/>
      <w:sz w:val="20"/>
      <w:szCs w:val="20"/>
    </w:rPr>
  </w:style>
  <w:style w:type="paragraph" w:customStyle="1" w:styleId="04Subhead">
    <w:name w:val="04_Subhead"/>
    <w:basedOn w:val="Normal"/>
    <w:qFormat/>
    <w:rsid w:val="006A0244"/>
    <w:pPr>
      <w:spacing w:before="120" w:line="276" w:lineRule="auto"/>
      <w:ind w:left="0"/>
    </w:pPr>
    <w:rPr>
      <w:rFonts w:eastAsiaTheme="minorHAnsi" w:cs="Arial"/>
      <w:b/>
      <w:bCs/>
      <w:color w:val="3769FF"/>
      <w:spacing w:val="0"/>
      <w:sz w:val="26"/>
      <w:szCs w:val="24"/>
    </w:rPr>
  </w:style>
  <w:style w:type="paragraph" w:customStyle="1" w:styleId="06TertiaryHead">
    <w:name w:val="06_Tertiary Head"/>
    <w:basedOn w:val="Normal"/>
    <w:qFormat/>
    <w:rsid w:val="006A0244"/>
    <w:pPr>
      <w:autoSpaceDE w:val="0"/>
      <w:autoSpaceDN w:val="0"/>
      <w:adjustRightInd w:val="0"/>
      <w:spacing w:before="120" w:line="276" w:lineRule="auto"/>
      <w:ind w:left="0"/>
      <w:textAlignment w:val="center"/>
    </w:pPr>
    <w:rPr>
      <w:rFonts w:eastAsiaTheme="minorHAnsi" w:cs="Arial"/>
      <w:b/>
      <w:bCs/>
      <w:spacing w:val="0"/>
    </w:rPr>
  </w:style>
  <w:style w:type="paragraph" w:customStyle="1" w:styleId="Arial">
    <w:name w:val="Arial"/>
    <w:basedOn w:val="Footer"/>
    <w:link w:val="ArialChar"/>
    <w:qFormat/>
    <w:rsid w:val="006A0244"/>
    <w:pPr>
      <w:tabs>
        <w:tab w:val="clear" w:pos="4680"/>
        <w:tab w:val="clear" w:pos="9360"/>
        <w:tab w:val="center" w:pos="4513"/>
        <w:tab w:val="right" w:pos="9026"/>
      </w:tabs>
      <w:ind w:left="0"/>
      <w:jc w:val="center"/>
    </w:pPr>
    <w:rPr>
      <w:rFonts w:eastAsiaTheme="minorEastAsia" w:cs="Arial"/>
      <w:sz w:val="16"/>
      <w:szCs w:val="18"/>
      <w:lang w:eastAsia="ko-KR"/>
    </w:rPr>
  </w:style>
  <w:style w:type="character" w:customStyle="1" w:styleId="ArialChar">
    <w:name w:val="Arial Char"/>
    <w:basedOn w:val="FooterChar"/>
    <w:link w:val="Arial"/>
    <w:rsid w:val="006A0244"/>
    <w:rPr>
      <w:rFonts w:ascii="Arial" w:eastAsiaTheme="minorEastAsia" w:hAnsi="Arial" w:cs="Arial"/>
      <w:spacing w:val="-5"/>
      <w:sz w:val="16"/>
      <w:szCs w:val="18"/>
      <w:lang w:val="en-GB" w:eastAsia="ko-KR"/>
    </w:rPr>
  </w:style>
  <w:style w:type="paragraph" w:styleId="ListParagraph">
    <w:name w:val="List Paragraph"/>
    <w:aliases w:val="List1,Number List Paragraph,Numbered Para 1,Dot pt,No Spacing1,List Paragraph Char Char Char,Indicator Text,List Paragraph1,Bullet Points,MAIN CONTENT,List Paragraph12,F5 List Paragraph,Bullet List,Bullet list,Bulletr List Paragraph,List2"/>
    <w:basedOn w:val="Normal"/>
    <w:link w:val="ListParagraphChar"/>
    <w:uiPriority w:val="34"/>
    <w:qFormat/>
    <w:rsid w:val="00230020"/>
    <w:pPr>
      <w:ind w:left="720"/>
      <w:contextualSpacing/>
    </w:pPr>
  </w:style>
  <w:style w:type="character" w:customStyle="1" w:styleId="ListParagraphChar">
    <w:name w:val="List Paragraph Char"/>
    <w:aliases w:val="List1 Char,Number List Paragraph Char,Numbered Para 1 Char,Dot pt Char,No Spacing1 Char,List Paragraph Char Char Char Char,Indicator Text Char,List Paragraph1 Char,Bullet Points Char,MAIN CONTENT Char,List Paragraph12 Char,List2 Char"/>
    <w:link w:val="ListParagraph"/>
    <w:uiPriority w:val="34"/>
    <w:qFormat/>
    <w:locked/>
    <w:rsid w:val="006E6A47"/>
    <w:rPr>
      <w:rFonts w:ascii="Arial" w:hAnsi="Arial"/>
      <w:spacing w:val="-5"/>
    </w:rPr>
  </w:style>
  <w:style w:type="character" w:styleId="Hyperlink">
    <w:name w:val="Hyperlink"/>
    <w:basedOn w:val="DefaultParagraphFont"/>
    <w:uiPriority w:val="99"/>
    <w:unhideWhenUsed/>
    <w:rsid w:val="00D80234"/>
    <w:rPr>
      <w:color w:val="3769FF" w:themeColor="hyperlink"/>
      <w:u w:val="single"/>
    </w:rPr>
  </w:style>
  <w:style w:type="character" w:customStyle="1" w:styleId="UnresolvedMention1">
    <w:name w:val="Unresolved Mention1"/>
    <w:basedOn w:val="DefaultParagraphFont"/>
    <w:uiPriority w:val="99"/>
    <w:semiHidden/>
    <w:unhideWhenUsed/>
    <w:rsid w:val="00D80234"/>
    <w:rPr>
      <w:color w:val="605E5C"/>
      <w:shd w:val="clear" w:color="auto" w:fill="E1DFDD"/>
    </w:rPr>
  </w:style>
  <w:style w:type="paragraph" w:styleId="Title">
    <w:name w:val="Title"/>
    <w:basedOn w:val="Normal"/>
    <w:link w:val="TitleChar"/>
    <w:qFormat/>
    <w:rsid w:val="004642D8"/>
    <w:pPr>
      <w:ind w:left="0"/>
      <w:jc w:val="center"/>
    </w:pPr>
    <w:rPr>
      <w:rFonts w:cs="Arial"/>
      <w:b/>
      <w:bCs/>
      <w:spacing w:val="0"/>
      <w:sz w:val="24"/>
      <w:szCs w:val="24"/>
      <w:lang w:val="en-US"/>
    </w:rPr>
  </w:style>
  <w:style w:type="character" w:customStyle="1" w:styleId="TitleChar">
    <w:name w:val="Title Char"/>
    <w:basedOn w:val="DefaultParagraphFont"/>
    <w:link w:val="Title"/>
    <w:rsid w:val="004642D8"/>
    <w:rPr>
      <w:rFonts w:ascii="Arial" w:hAnsi="Arial" w:cs="Arial"/>
      <w:b/>
      <w:bCs/>
      <w:sz w:val="24"/>
      <w:szCs w:val="24"/>
    </w:rPr>
  </w:style>
  <w:style w:type="paragraph" w:styleId="Subtitle">
    <w:name w:val="Subtitle"/>
    <w:basedOn w:val="Normal"/>
    <w:link w:val="SubtitleChar"/>
    <w:qFormat/>
    <w:rsid w:val="004642D8"/>
    <w:pPr>
      <w:ind w:left="0"/>
      <w:jc w:val="center"/>
    </w:pPr>
    <w:rPr>
      <w:rFonts w:ascii="Times New Roman" w:hAnsi="Times New Roman"/>
      <w:b/>
      <w:bCs/>
      <w:spacing w:val="0"/>
      <w:sz w:val="24"/>
      <w:szCs w:val="24"/>
      <w:lang w:val="en-US"/>
    </w:rPr>
  </w:style>
  <w:style w:type="character" w:customStyle="1" w:styleId="SubtitleChar">
    <w:name w:val="Subtitle Char"/>
    <w:basedOn w:val="DefaultParagraphFont"/>
    <w:link w:val="Subtitle"/>
    <w:rsid w:val="004642D8"/>
    <w:rPr>
      <w:b/>
      <w:bCs/>
      <w:sz w:val="24"/>
      <w:szCs w:val="24"/>
    </w:rPr>
  </w:style>
  <w:style w:type="character" w:styleId="CommentReference">
    <w:name w:val="annotation reference"/>
    <w:basedOn w:val="DefaultParagraphFont"/>
    <w:uiPriority w:val="99"/>
    <w:unhideWhenUsed/>
    <w:rsid w:val="002C1537"/>
    <w:rPr>
      <w:sz w:val="16"/>
      <w:szCs w:val="16"/>
    </w:rPr>
  </w:style>
  <w:style w:type="paragraph" w:styleId="CommentText">
    <w:name w:val="annotation text"/>
    <w:basedOn w:val="Normal"/>
    <w:link w:val="CommentTextChar"/>
    <w:uiPriority w:val="99"/>
    <w:unhideWhenUsed/>
    <w:rsid w:val="002C1537"/>
  </w:style>
  <w:style w:type="character" w:customStyle="1" w:styleId="CommentTextChar">
    <w:name w:val="Comment Text Char"/>
    <w:basedOn w:val="DefaultParagraphFont"/>
    <w:link w:val="CommentText"/>
    <w:uiPriority w:val="99"/>
    <w:rsid w:val="002C1537"/>
    <w:rPr>
      <w:rFonts w:ascii="Arial" w:hAnsi="Arial"/>
      <w:spacing w:val="-5"/>
      <w:lang w:val="en-GB"/>
    </w:rPr>
  </w:style>
  <w:style w:type="paragraph" w:styleId="CommentSubject">
    <w:name w:val="annotation subject"/>
    <w:basedOn w:val="CommentText"/>
    <w:next w:val="CommentText"/>
    <w:link w:val="CommentSubjectChar"/>
    <w:uiPriority w:val="99"/>
    <w:semiHidden/>
    <w:unhideWhenUsed/>
    <w:rsid w:val="002C1537"/>
    <w:rPr>
      <w:b/>
      <w:bCs/>
    </w:rPr>
  </w:style>
  <w:style w:type="character" w:customStyle="1" w:styleId="CommentSubjectChar">
    <w:name w:val="Comment Subject Char"/>
    <w:basedOn w:val="CommentTextChar"/>
    <w:link w:val="CommentSubject"/>
    <w:uiPriority w:val="99"/>
    <w:semiHidden/>
    <w:rsid w:val="002C1537"/>
    <w:rPr>
      <w:rFonts w:ascii="Arial" w:hAnsi="Arial"/>
      <w:b/>
      <w:bCs/>
      <w:spacing w:val="-5"/>
      <w:lang w:val="en-GB"/>
    </w:rPr>
  </w:style>
  <w:style w:type="paragraph" w:styleId="BodyText3">
    <w:name w:val="Body Text 3"/>
    <w:basedOn w:val="Normal"/>
    <w:link w:val="BodyText3Char"/>
    <w:rsid w:val="00946915"/>
    <w:pPr>
      <w:widowControl w:val="0"/>
      <w:tabs>
        <w:tab w:val="left" w:pos="-1440"/>
        <w:tab w:val="left" w:pos="-720"/>
        <w:tab w:val="left" w:pos="0"/>
        <w:tab w:val="left" w:pos="367"/>
        <w:tab w:val="left" w:pos="720"/>
      </w:tabs>
      <w:suppressAutoHyphens/>
      <w:autoSpaceDE w:val="0"/>
      <w:autoSpaceDN w:val="0"/>
      <w:adjustRightInd w:val="0"/>
      <w:ind w:left="0"/>
      <w:jc w:val="both"/>
    </w:pPr>
    <w:rPr>
      <w:rFonts w:ascii="Times New Roman" w:hAnsi="Times New Roman"/>
      <w:spacing w:val="0"/>
      <w:sz w:val="16"/>
      <w:szCs w:val="16"/>
      <w:lang w:eastAsia="fr-FR"/>
    </w:rPr>
  </w:style>
  <w:style w:type="character" w:customStyle="1" w:styleId="BodyText3Char">
    <w:name w:val="Body Text 3 Char"/>
    <w:basedOn w:val="DefaultParagraphFont"/>
    <w:link w:val="BodyText3"/>
    <w:rsid w:val="00946915"/>
    <w:rPr>
      <w:sz w:val="16"/>
      <w:szCs w:val="16"/>
      <w:lang w:val="en-GB" w:eastAsia="fr-FR"/>
    </w:rPr>
  </w:style>
  <w:style w:type="paragraph" w:styleId="BodyTextIndent">
    <w:name w:val="Body Text Indent"/>
    <w:basedOn w:val="Normal"/>
    <w:link w:val="BodyTextIndentChar"/>
    <w:rsid w:val="00946915"/>
    <w:pPr>
      <w:widowControl w:val="0"/>
      <w:tabs>
        <w:tab w:val="left" w:pos="-1440"/>
        <w:tab w:val="left" w:pos="-720"/>
        <w:tab w:val="left" w:pos="0"/>
        <w:tab w:val="left" w:pos="367"/>
        <w:tab w:val="left" w:pos="727"/>
        <w:tab w:val="left" w:pos="997"/>
        <w:tab w:val="right" w:pos="7927"/>
        <w:tab w:val="left" w:pos="10800"/>
      </w:tabs>
      <w:suppressAutoHyphens/>
      <w:autoSpaceDE w:val="0"/>
      <w:autoSpaceDN w:val="0"/>
      <w:adjustRightInd w:val="0"/>
      <w:ind w:left="367" w:hanging="367"/>
      <w:jc w:val="both"/>
    </w:pPr>
    <w:rPr>
      <w:rFonts w:ascii="Times New Roman" w:hAnsi="Times New Roman"/>
      <w:spacing w:val="0"/>
      <w:sz w:val="14"/>
      <w:szCs w:val="14"/>
      <w:lang w:eastAsia="fr-FR"/>
    </w:rPr>
  </w:style>
  <w:style w:type="character" w:customStyle="1" w:styleId="BodyTextIndentChar">
    <w:name w:val="Body Text Indent Char"/>
    <w:basedOn w:val="DefaultParagraphFont"/>
    <w:link w:val="BodyTextIndent"/>
    <w:rsid w:val="00946915"/>
    <w:rPr>
      <w:sz w:val="14"/>
      <w:szCs w:val="14"/>
      <w:lang w:val="en-GB" w:eastAsia="fr-FR"/>
    </w:rPr>
  </w:style>
  <w:style w:type="paragraph" w:styleId="BodyTextIndent2">
    <w:name w:val="Body Text Indent 2"/>
    <w:basedOn w:val="Normal"/>
    <w:link w:val="BodyTextIndent2Char"/>
    <w:rsid w:val="00946915"/>
    <w:pPr>
      <w:widowControl w:val="0"/>
      <w:tabs>
        <w:tab w:val="left" w:pos="-1440"/>
        <w:tab w:val="left" w:pos="-720"/>
        <w:tab w:val="left" w:pos="360"/>
        <w:tab w:val="left" w:pos="727"/>
        <w:tab w:val="left" w:pos="997"/>
        <w:tab w:val="right" w:pos="7927"/>
        <w:tab w:val="left" w:pos="10800"/>
      </w:tabs>
      <w:suppressAutoHyphens/>
      <w:autoSpaceDE w:val="0"/>
      <w:autoSpaceDN w:val="0"/>
      <w:adjustRightInd w:val="0"/>
      <w:ind w:left="360"/>
    </w:pPr>
    <w:rPr>
      <w:rFonts w:ascii="Times New Roman" w:hAnsi="Times New Roman"/>
      <w:spacing w:val="0"/>
      <w:sz w:val="16"/>
      <w:szCs w:val="16"/>
      <w:lang w:eastAsia="fr-FR"/>
    </w:rPr>
  </w:style>
  <w:style w:type="character" w:customStyle="1" w:styleId="BodyTextIndent2Char">
    <w:name w:val="Body Text Indent 2 Char"/>
    <w:basedOn w:val="DefaultParagraphFont"/>
    <w:link w:val="BodyTextIndent2"/>
    <w:rsid w:val="00946915"/>
    <w:rPr>
      <w:sz w:val="16"/>
      <w:szCs w:val="16"/>
      <w:lang w:val="en-GB" w:eastAsia="fr-FR"/>
    </w:rPr>
  </w:style>
  <w:style w:type="character" w:customStyle="1" w:styleId="DeltaViewInsertion">
    <w:name w:val="DeltaView Insertion"/>
    <w:rsid w:val="00946915"/>
    <w:rPr>
      <w:color w:val="0000FF"/>
      <w:spacing w:val="0"/>
      <w:u w:val="double"/>
    </w:rPr>
  </w:style>
  <w:style w:type="paragraph" w:styleId="BalloonText">
    <w:name w:val="Balloon Text"/>
    <w:basedOn w:val="Normal"/>
    <w:link w:val="BalloonTextChar"/>
    <w:rsid w:val="00946915"/>
    <w:pPr>
      <w:autoSpaceDE w:val="0"/>
      <w:autoSpaceDN w:val="0"/>
      <w:adjustRightInd w:val="0"/>
      <w:ind w:left="0"/>
    </w:pPr>
    <w:rPr>
      <w:rFonts w:ascii="Tahoma" w:hAnsi="Tahoma" w:cs="Tahoma"/>
      <w:spacing w:val="0"/>
      <w:sz w:val="16"/>
      <w:szCs w:val="16"/>
      <w:lang w:val="en-US" w:eastAsia="fr-FR"/>
    </w:rPr>
  </w:style>
  <w:style w:type="character" w:customStyle="1" w:styleId="BalloonTextChar">
    <w:name w:val="Balloon Text Char"/>
    <w:basedOn w:val="DefaultParagraphFont"/>
    <w:link w:val="BalloonText"/>
    <w:rsid w:val="00946915"/>
    <w:rPr>
      <w:rFonts w:ascii="Tahoma" w:hAnsi="Tahoma" w:cs="Tahoma"/>
      <w:sz w:val="16"/>
      <w:szCs w:val="16"/>
      <w:lang w:eastAsia="fr-FR"/>
    </w:rPr>
  </w:style>
  <w:style w:type="character" w:customStyle="1" w:styleId="cf01">
    <w:name w:val="cf01"/>
    <w:basedOn w:val="DefaultParagraphFont"/>
    <w:rsid w:val="002B258C"/>
    <w:rPr>
      <w:rFonts w:ascii="Segoe UI" w:hAnsi="Segoe UI" w:cs="Segoe UI" w:hint="default"/>
      <w:b/>
      <w:bCs/>
      <w:sz w:val="18"/>
      <w:szCs w:val="18"/>
      <w:shd w:val="clear" w:color="auto" w:fill="FFFF00"/>
    </w:rPr>
  </w:style>
  <w:style w:type="character" w:customStyle="1" w:styleId="cf11">
    <w:name w:val="cf11"/>
    <w:basedOn w:val="DefaultParagraphFont"/>
    <w:rsid w:val="002B258C"/>
    <w:rPr>
      <w:rFonts w:ascii="Segoe UI" w:hAnsi="Segoe UI" w:cs="Segoe UI" w:hint="default"/>
      <w:sz w:val="18"/>
      <w:szCs w:val="18"/>
    </w:rPr>
  </w:style>
  <w:style w:type="character" w:customStyle="1" w:styleId="cf21">
    <w:name w:val="cf21"/>
    <w:basedOn w:val="DefaultParagraphFont"/>
    <w:rsid w:val="002B258C"/>
    <w:rPr>
      <w:rFonts w:ascii="Segoe UI" w:hAnsi="Segoe UI" w:cs="Segoe UI" w:hint="default"/>
      <w:sz w:val="18"/>
      <w:szCs w:val="18"/>
      <w:u w:val="single"/>
    </w:rPr>
  </w:style>
  <w:style w:type="paragraph" w:customStyle="1" w:styleId="Default">
    <w:name w:val="Default"/>
    <w:rsid w:val="0010111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9B4E7D"/>
    <w:rPr>
      <w:rFonts w:ascii="Arial" w:hAnsi="Arial"/>
      <w:spacing w:val="-5"/>
      <w:lang w:val="en-GB"/>
    </w:rPr>
  </w:style>
  <w:style w:type="character" w:styleId="UnresolvedMention">
    <w:name w:val="Unresolved Mention"/>
    <w:basedOn w:val="DefaultParagraphFont"/>
    <w:uiPriority w:val="99"/>
    <w:semiHidden/>
    <w:unhideWhenUsed/>
    <w:rsid w:val="0080621E"/>
    <w:rPr>
      <w:color w:val="605E5C"/>
      <w:shd w:val="clear" w:color="auto" w:fill="E1DFDD"/>
    </w:rPr>
  </w:style>
  <w:style w:type="paragraph" w:styleId="BodyText">
    <w:name w:val="Body Text"/>
    <w:basedOn w:val="Normal"/>
    <w:link w:val="BodyTextChar"/>
    <w:uiPriority w:val="99"/>
    <w:semiHidden/>
    <w:unhideWhenUsed/>
    <w:rsid w:val="00305BAE"/>
    <w:pPr>
      <w:spacing w:after="120"/>
    </w:pPr>
  </w:style>
  <w:style w:type="character" w:customStyle="1" w:styleId="BodyTextChar">
    <w:name w:val="Body Text Char"/>
    <w:basedOn w:val="DefaultParagraphFont"/>
    <w:link w:val="BodyText"/>
    <w:uiPriority w:val="99"/>
    <w:semiHidden/>
    <w:rsid w:val="00305BAE"/>
    <w:rPr>
      <w:rFonts w:ascii="Arial" w:hAnsi="Arial"/>
      <w:spacing w:val="-5"/>
      <w:lang w:val="en-GB"/>
    </w:rPr>
  </w:style>
  <w:style w:type="paragraph" w:customStyle="1" w:styleId="paragraph">
    <w:name w:val="paragraph"/>
    <w:basedOn w:val="Normal"/>
    <w:rsid w:val="00C15A91"/>
    <w:pPr>
      <w:spacing w:before="100" w:beforeAutospacing="1" w:after="100" w:afterAutospacing="1"/>
      <w:ind w:left="0"/>
    </w:pPr>
    <w:rPr>
      <w:rFonts w:ascii="Times New Roman" w:hAnsi="Times New Roman"/>
      <w:spacing w:val="0"/>
      <w:sz w:val="24"/>
      <w:szCs w:val="24"/>
      <w:lang w:eastAsia="en-GB"/>
    </w:rPr>
  </w:style>
  <w:style w:type="character" w:customStyle="1" w:styleId="normaltextrun">
    <w:name w:val="normaltextrun"/>
    <w:basedOn w:val="DefaultParagraphFont"/>
    <w:rsid w:val="00C15A91"/>
  </w:style>
  <w:style w:type="character" w:customStyle="1" w:styleId="eop">
    <w:name w:val="eop"/>
    <w:basedOn w:val="DefaultParagraphFont"/>
    <w:rsid w:val="00C15A91"/>
  </w:style>
  <w:style w:type="character" w:customStyle="1" w:styleId="contextualspellingandgrammarerrorzoomed">
    <w:name w:val="contextualspellingandgrammarerrorzoomed"/>
    <w:basedOn w:val="DefaultParagraphFont"/>
    <w:rsid w:val="00C15A91"/>
  </w:style>
  <w:style w:type="character" w:styleId="Strong">
    <w:name w:val="Strong"/>
    <w:basedOn w:val="DefaultParagraphFont"/>
    <w:uiPriority w:val="22"/>
    <w:qFormat/>
    <w:rsid w:val="00F81BFB"/>
    <w:rPr>
      <w:b/>
      <w:bCs/>
    </w:rPr>
  </w:style>
  <w:style w:type="character" w:styleId="Emphasis">
    <w:name w:val="Emphasis"/>
    <w:basedOn w:val="DefaultParagraphFont"/>
    <w:uiPriority w:val="20"/>
    <w:qFormat/>
    <w:rsid w:val="00F81B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3240">
      <w:bodyDiv w:val="1"/>
      <w:marLeft w:val="0"/>
      <w:marRight w:val="0"/>
      <w:marTop w:val="0"/>
      <w:marBottom w:val="0"/>
      <w:divBdr>
        <w:top w:val="none" w:sz="0" w:space="0" w:color="auto"/>
        <w:left w:val="none" w:sz="0" w:space="0" w:color="auto"/>
        <w:bottom w:val="none" w:sz="0" w:space="0" w:color="auto"/>
        <w:right w:val="none" w:sz="0" w:space="0" w:color="auto"/>
      </w:divBdr>
    </w:div>
    <w:div w:id="7603163">
      <w:bodyDiv w:val="1"/>
      <w:marLeft w:val="0"/>
      <w:marRight w:val="0"/>
      <w:marTop w:val="0"/>
      <w:marBottom w:val="0"/>
      <w:divBdr>
        <w:top w:val="none" w:sz="0" w:space="0" w:color="auto"/>
        <w:left w:val="none" w:sz="0" w:space="0" w:color="auto"/>
        <w:bottom w:val="none" w:sz="0" w:space="0" w:color="auto"/>
        <w:right w:val="none" w:sz="0" w:space="0" w:color="auto"/>
      </w:divBdr>
    </w:div>
    <w:div w:id="11302339">
      <w:bodyDiv w:val="1"/>
      <w:marLeft w:val="0"/>
      <w:marRight w:val="0"/>
      <w:marTop w:val="0"/>
      <w:marBottom w:val="0"/>
      <w:divBdr>
        <w:top w:val="none" w:sz="0" w:space="0" w:color="auto"/>
        <w:left w:val="none" w:sz="0" w:space="0" w:color="auto"/>
        <w:bottom w:val="none" w:sz="0" w:space="0" w:color="auto"/>
        <w:right w:val="none" w:sz="0" w:space="0" w:color="auto"/>
      </w:divBdr>
    </w:div>
    <w:div w:id="45178808">
      <w:bodyDiv w:val="1"/>
      <w:marLeft w:val="0"/>
      <w:marRight w:val="0"/>
      <w:marTop w:val="0"/>
      <w:marBottom w:val="0"/>
      <w:divBdr>
        <w:top w:val="none" w:sz="0" w:space="0" w:color="auto"/>
        <w:left w:val="none" w:sz="0" w:space="0" w:color="auto"/>
        <w:bottom w:val="none" w:sz="0" w:space="0" w:color="auto"/>
        <w:right w:val="none" w:sz="0" w:space="0" w:color="auto"/>
      </w:divBdr>
    </w:div>
    <w:div w:id="69084721">
      <w:bodyDiv w:val="1"/>
      <w:marLeft w:val="0"/>
      <w:marRight w:val="0"/>
      <w:marTop w:val="0"/>
      <w:marBottom w:val="0"/>
      <w:divBdr>
        <w:top w:val="none" w:sz="0" w:space="0" w:color="auto"/>
        <w:left w:val="none" w:sz="0" w:space="0" w:color="auto"/>
        <w:bottom w:val="none" w:sz="0" w:space="0" w:color="auto"/>
        <w:right w:val="none" w:sz="0" w:space="0" w:color="auto"/>
      </w:divBdr>
    </w:div>
    <w:div w:id="71125395">
      <w:bodyDiv w:val="1"/>
      <w:marLeft w:val="0"/>
      <w:marRight w:val="0"/>
      <w:marTop w:val="0"/>
      <w:marBottom w:val="0"/>
      <w:divBdr>
        <w:top w:val="none" w:sz="0" w:space="0" w:color="auto"/>
        <w:left w:val="none" w:sz="0" w:space="0" w:color="auto"/>
        <w:bottom w:val="none" w:sz="0" w:space="0" w:color="auto"/>
        <w:right w:val="none" w:sz="0" w:space="0" w:color="auto"/>
      </w:divBdr>
    </w:div>
    <w:div w:id="99379559">
      <w:bodyDiv w:val="1"/>
      <w:marLeft w:val="0"/>
      <w:marRight w:val="0"/>
      <w:marTop w:val="0"/>
      <w:marBottom w:val="0"/>
      <w:divBdr>
        <w:top w:val="none" w:sz="0" w:space="0" w:color="auto"/>
        <w:left w:val="none" w:sz="0" w:space="0" w:color="auto"/>
        <w:bottom w:val="none" w:sz="0" w:space="0" w:color="auto"/>
        <w:right w:val="none" w:sz="0" w:space="0" w:color="auto"/>
      </w:divBdr>
      <w:divsChild>
        <w:div w:id="176700397">
          <w:marLeft w:val="0"/>
          <w:marRight w:val="0"/>
          <w:marTop w:val="0"/>
          <w:marBottom w:val="0"/>
          <w:divBdr>
            <w:top w:val="none" w:sz="0" w:space="0" w:color="auto"/>
            <w:left w:val="none" w:sz="0" w:space="0" w:color="auto"/>
            <w:bottom w:val="none" w:sz="0" w:space="0" w:color="auto"/>
            <w:right w:val="none" w:sz="0" w:space="0" w:color="auto"/>
          </w:divBdr>
        </w:div>
      </w:divsChild>
    </w:div>
    <w:div w:id="169108011">
      <w:bodyDiv w:val="1"/>
      <w:marLeft w:val="0"/>
      <w:marRight w:val="0"/>
      <w:marTop w:val="0"/>
      <w:marBottom w:val="0"/>
      <w:divBdr>
        <w:top w:val="none" w:sz="0" w:space="0" w:color="auto"/>
        <w:left w:val="none" w:sz="0" w:space="0" w:color="auto"/>
        <w:bottom w:val="none" w:sz="0" w:space="0" w:color="auto"/>
        <w:right w:val="none" w:sz="0" w:space="0" w:color="auto"/>
      </w:divBdr>
    </w:div>
    <w:div w:id="187722646">
      <w:bodyDiv w:val="1"/>
      <w:marLeft w:val="0"/>
      <w:marRight w:val="0"/>
      <w:marTop w:val="0"/>
      <w:marBottom w:val="0"/>
      <w:divBdr>
        <w:top w:val="none" w:sz="0" w:space="0" w:color="auto"/>
        <w:left w:val="none" w:sz="0" w:space="0" w:color="auto"/>
        <w:bottom w:val="none" w:sz="0" w:space="0" w:color="auto"/>
        <w:right w:val="none" w:sz="0" w:space="0" w:color="auto"/>
      </w:divBdr>
    </w:div>
    <w:div w:id="266887553">
      <w:bodyDiv w:val="1"/>
      <w:marLeft w:val="0"/>
      <w:marRight w:val="0"/>
      <w:marTop w:val="0"/>
      <w:marBottom w:val="0"/>
      <w:divBdr>
        <w:top w:val="none" w:sz="0" w:space="0" w:color="auto"/>
        <w:left w:val="none" w:sz="0" w:space="0" w:color="auto"/>
        <w:bottom w:val="none" w:sz="0" w:space="0" w:color="auto"/>
        <w:right w:val="none" w:sz="0" w:space="0" w:color="auto"/>
      </w:divBdr>
    </w:div>
    <w:div w:id="298875420">
      <w:bodyDiv w:val="1"/>
      <w:marLeft w:val="0"/>
      <w:marRight w:val="0"/>
      <w:marTop w:val="0"/>
      <w:marBottom w:val="0"/>
      <w:divBdr>
        <w:top w:val="none" w:sz="0" w:space="0" w:color="auto"/>
        <w:left w:val="none" w:sz="0" w:space="0" w:color="auto"/>
        <w:bottom w:val="none" w:sz="0" w:space="0" w:color="auto"/>
        <w:right w:val="none" w:sz="0" w:space="0" w:color="auto"/>
      </w:divBdr>
    </w:div>
    <w:div w:id="301812058">
      <w:bodyDiv w:val="1"/>
      <w:marLeft w:val="0"/>
      <w:marRight w:val="0"/>
      <w:marTop w:val="0"/>
      <w:marBottom w:val="0"/>
      <w:divBdr>
        <w:top w:val="none" w:sz="0" w:space="0" w:color="auto"/>
        <w:left w:val="none" w:sz="0" w:space="0" w:color="auto"/>
        <w:bottom w:val="none" w:sz="0" w:space="0" w:color="auto"/>
        <w:right w:val="none" w:sz="0" w:space="0" w:color="auto"/>
      </w:divBdr>
    </w:div>
    <w:div w:id="429660732">
      <w:bodyDiv w:val="1"/>
      <w:marLeft w:val="0"/>
      <w:marRight w:val="0"/>
      <w:marTop w:val="0"/>
      <w:marBottom w:val="0"/>
      <w:divBdr>
        <w:top w:val="none" w:sz="0" w:space="0" w:color="auto"/>
        <w:left w:val="none" w:sz="0" w:space="0" w:color="auto"/>
        <w:bottom w:val="none" w:sz="0" w:space="0" w:color="auto"/>
        <w:right w:val="none" w:sz="0" w:space="0" w:color="auto"/>
      </w:divBdr>
      <w:divsChild>
        <w:div w:id="133449857">
          <w:marLeft w:val="0"/>
          <w:marRight w:val="0"/>
          <w:marTop w:val="0"/>
          <w:marBottom w:val="0"/>
          <w:divBdr>
            <w:top w:val="none" w:sz="0" w:space="0" w:color="auto"/>
            <w:left w:val="none" w:sz="0" w:space="0" w:color="auto"/>
            <w:bottom w:val="none" w:sz="0" w:space="0" w:color="auto"/>
            <w:right w:val="none" w:sz="0" w:space="0" w:color="auto"/>
          </w:divBdr>
        </w:div>
      </w:divsChild>
    </w:div>
    <w:div w:id="463235805">
      <w:bodyDiv w:val="1"/>
      <w:marLeft w:val="0"/>
      <w:marRight w:val="0"/>
      <w:marTop w:val="0"/>
      <w:marBottom w:val="0"/>
      <w:divBdr>
        <w:top w:val="none" w:sz="0" w:space="0" w:color="auto"/>
        <w:left w:val="none" w:sz="0" w:space="0" w:color="auto"/>
        <w:bottom w:val="none" w:sz="0" w:space="0" w:color="auto"/>
        <w:right w:val="none" w:sz="0" w:space="0" w:color="auto"/>
      </w:divBdr>
      <w:divsChild>
        <w:div w:id="666639810">
          <w:marLeft w:val="0"/>
          <w:marRight w:val="0"/>
          <w:marTop w:val="0"/>
          <w:marBottom w:val="0"/>
          <w:divBdr>
            <w:top w:val="none" w:sz="0" w:space="0" w:color="auto"/>
            <w:left w:val="none" w:sz="0" w:space="0" w:color="auto"/>
            <w:bottom w:val="none" w:sz="0" w:space="0" w:color="auto"/>
            <w:right w:val="none" w:sz="0" w:space="0" w:color="auto"/>
          </w:divBdr>
        </w:div>
      </w:divsChild>
    </w:div>
    <w:div w:id="662900058">
      <w:bodyDiv w:val="1"/>
      <w:marLeft w:val="0"/>
      <w:marRight w:val="0"/>
      <w:marTop w:val="0"/>
      <w:marBottom w:val="0"/>
      <w:divBdr>
        <w:top w:val="none" w:sz="0" w:space="0" w:color="auto"/>
        <w:left w:val="none" w:sz="0" w:space="0" w:color="auto"/>
        <w:bottom w:val="none" w:sz="0" w:space="0" w:color="auto"/>
        <w:right w:val="none" w:sz="0" w:space="0" w:color="auto"/>
      </w:divBdr>
    </w:div>
    <w:div w:id="663514778">
      <w:bodyDiv w:val="1"/>
      <w:marLeft w:val="0"/>
      <w:marRight w:val="0"/>
      <w:marTop w:val="0"/>
      <w:marBottom w:val="0"/>
      <w:divBdr>
        <w:top w:val="none" w:sz="0" w:space="0" w:color="auto"/>
        <w:left w:val="none" w:sz="0" w:space="0" w:color="auto"/>
        <w:bottom w:val="none" w:sz="0" w:space="0" w:color="auto"/>
        <w:right w:val="none" w:sz="0" w:space="0" w:color="auto"/>
      </w:divBdr>
    </w:div>
    <w:div w:id="712115719">
      <w:bodyDiv w:val="1"/>
      <w:marLeft w:val="0"/>
      <w:marRight w:val="0"/>
      <w:marTop w:val="0"/>
      <w:marBottom w:val="0"/>
      <w:divBdr>
        <w:top w:val="none" w:sz="0" w:space="0" w:color="auto"/>
        <w:left w:val="none" w:sz="0" w:space="0" w:color="auto"/>
        <w:bottom w:val="none" w:sz="0" w:space="0" w:color="auto"/>
        <w:right w:val="none" w:sz="0" w:space="0" w:color="auto"/>
      </w:divBdr>
    </w:div>
    <w:div w:id="765536024">
      <w:bodyDiv w:val="1"/>
      <w:marLeft w:val="0"/>
      <w:marRight w:val="0"/>
      <w:marTop w:val="0"/>
      <w:marBottom w:val="0"/>
      <w:divBdr>
        <w:top w:val="none" w:sz="0" w:space="0" w:color="auto"/>
        <w:left w:val="none" w:sz="0" w:space="0" w:color="auto"/>
        <w:bottom w:val="none" w:sz="0" w:space="0" w:color="auto"/>
        <w:right w:val="none" w:sz="0" w:space="0" w:color="auto"/>
      </w:divBdr>
    </w:div>
    <w:div w:id="828598619">
      <w:bodyDiv w:val="1"/>
      <w:marLeft w:val="0"/>
      <w:marRight w:val="0"/>
      <w:marTop w:val="0"/>
      <w:marBottom w:val="0"/>
      <w:divBdr>
        <w:top w:val="none" w:sz="0" w:space="0" w:color="auto"/>
        <w:left w:val="none" w:sz="0" w:space="0" w:color="auto"/>
        <w:bottom w:val="none" w:sz="0" w:space="0" w:color="auto"/>
        <w:right w:val="none" w:sz="0" w:space="0" w:color="auto"/>
      </w:divBdr>
    </w:div>
    <w:div w:id="871919694">
      <w:bodyDiv w:val="1"/>
      <w:marLeft w:val="0"/>
      <w:marRight w:val="0"/>
      <w:marTop w:val="0"/>
      <w:marBottom w:val="0"/>
      <w:divBdr>
        <w:top w:val="none" w:sz="0" w:space="0" w:color="auto"/>
        <w:left w:val="none" w:sz="0" w:space="0" w:color="auto"/>
        <w:bottom w:val="none" w:sz="0" w:space="0" w:color="auto"/>
        <w:right w:val="none" w:sz="0" w:space="0" w:color="auto"/>
      </w:divBdr>
      <w:divsChild>
        <w:div w:id="899440838">
          <w:marLeft w:val="0"/>
          <w:marRight w:val="0"/>
          <w:marTop w:val="0"/>
          <w:marBottom w:val="0"/>
          <w:divBdr>
            <w:top w:val="none" w:sz="0" w:space="0" w:color="auto"/>
            <w:left w:val="none" w:sz="0" w:space="0" w:color="auto"/>
            <w:bottom w:val="none" w:sz="0" w:space="0" w:color="auto"/>
            <w:right w:val="none" w:sz="0" w:space="0" w:color="auto"/>
          </w:divBdr>
        </w:div>
      </w:divsChild>
    </w:div>
    <w:div w:id="911699272">
      <w:bodyDiv w:val="1"/>
      <w:marLeft w:val="0"/>
      <w:marRight w:val="0"/>
      <w:marTop w:val="0"/>
      <w:marBottom w:val="0"/>
      <w:divBdr>
        <w:top w:val="none" w:sz="0" w:space="0" w:color="auto"/>
        <w:left w:val="none" w:sz="0" w:space="0" w:color="auto"/>
        <w:bottom w:val="none" w:sz="0" w:space="0" w:color="auto"/>
        <w:right w:val="none" w:sz="0" w:space="0" w:color="auto"/>
      </w:divBdr>
    </w:div>
    <w:div w:id="915478949">
      <w:bodyDiv w:val="1"/>
      <w:marLeft w:val="0"/>
      <w:marRight w:val="0"/>
      <w:marTop w:val="0"/>
      <w:marBottom w:val="0"/>
      <w:divBdr>
        <w:top w:val="none" w:sz="0" w:space="0" w:color="auto"/>
        <w:left w:val="none" w:sz="0" w:space="0" w:color="auto"/>
        <w:bottom w:val="none" w:sz="0" w:space="0" w:color="auto"/>
        <w:right w:val="none" w:sz="0" w:space="0" w:color="auto"/>
      </w:divBdr>
    </w:div>
    <w:div w:id="937324839">
      <w:bodyDiv w:val="1"/>
      <w:marLeft w:val="0"/>
      <w:marRight w:val="0"/>
      <w:marTop w:val="0"/>
      <w:marBottom w:val="0"/>
      <w:divBdr>
        <w:top w:val="none" w:sz="0" w:space="0" w:color="auto"/>
        <w:left w:val="none" w:sz="0" w:space="0" w:color="auto"/>
        <w:bottom w:val="none" w:sz="0" w:space="0" w:color="auto"/>
        <w:right w:val="none" w:sz="0" w:space="0" w:color="auto"/>
      </w:divBdr>
    </w:div>
    <w:div w:id="994844833">
      <w:bodyDiv w:val="1"/>
      <w:marLeft w:val="0"/>
      <w:marRight w:val="0"/>
      <w:marTop w:val="0"/>
      <w:marBottom w:val="0"/>
      <w:divBdr>
        <w:top w:val="none" w:sz="0" w:space="0" w:color="auto"/>
        <w:left w:val="none" w:sz="0" w:space="0" w:color="auto"/>
        <w:bottom w:val="none" w:sz="0" w:space="0" w:color="auto"/>
        <w:right w:val="none" w:sz="0" w:space="0" w:color="auto"/>
      </w:divBdr>
    </w:div>
    <w:div w:id="1049501352">
      <w:bodyDiv w:val="1"/>
      <w:marLeft w:val="0"/>
      <w:marRight w:val="0"/>
      <w:marTop w:val="0"/>
      <w:marBottom w:val="0"/>
      <w:divBdr>
        <w:top w:val="none" w:sz="0" w:space="0" w:color="auto"/>
        <w:left w:val="none" w:sz="0" w:space="0" w:color="auto"/>
        <w:bottom w:val="none" w:sz="0" w:space="0" w:color="auto"/>
        <w:right w:val="none" w:sz="0" w:space="0" w:color="auto"/>
      </w:divBdr>
    </w:div>
    <w:div w:id="1061252000">
      <w:bodyDiv w:val="1"/>
      <w:marLeft w:val="0"/>
      <w:marRight w:val="0"/>
      <w:marTop w:val="0"/>
      <w:marBottom w:val="0"/>
      <w:divBdr>
        <w:top w:val="none" w:sz="0" w:space="0" w:color="auto"/>
        <w:left w:val="none" w:sz="0" w:space="0" w:color="auto"/>
        <w:bottom w:val="none" w:sz="0" w:space="0" w:color="auto"/>
        <w:right w:val="none" w:sz="0" w:space="0" w:color="auto"/>
      </w:divBdr>
    </w:div>
    <w:div w:id="1124153114">
      <w:bodyDiv w:val="1"/>
      <w:marLeft w:val="0"/>
      <w:marRight w:val="0"/>
      <w:marTop w:val="0"/>
      <w:marBottom w:val="0"/>
      <w:divBdr>
        <w:top w:val="none" w:sz="0" w:space="0" w:color="auto"/>
        <w:left w:val="none" w:sz="0" w:space="0" w:color="auto"/>
        <w:bottom w:val="none" w:sz="0" w:space="0" w:color="auto"/>
        <w:right w:val="none" w:sz="0" w:space="0" w:color="auto"/>
      </w:divBdr>
      <w:divsChild>
        <w:div w:id="543560407">
          <w:marLeft w:val="0"/>
          <w:marRight w:val="0"/>
          <w:marTop w:val="0"/>
          <w:marBottom w:val="0"/>
          <w:divBdr>
            <w:top w:val="none" w:sz="0" w:space="0" w:color="auto"/>
            <w:left w:val="none" w:sz="0" w:space="0" w:color="auto"/>
            <w:bottom w:val="none" w:sz="0" w:space="0" w:color="auto"/>
            <w:right w:val="none" w:sz="0" w:space="0" w:color="auto"/>
          </w:divBdr>
        </w:div>
      </w:divsChild>
    </w:div>
    <w:div w:id="1128358702">
      <w:bodyDiv w:val="1"/>
      <w:marLeft w:val="0"/>
      <w:marRight w:val="0"/>
      <w:marTop w:val="0"/>
      <w:marBottom w:val="0"/>
      <w:divBdr>
        <w:top w:val="none" w:sz="0" w:space="0" w:color="auto"/>
        <w:left w:val="none" w:sz="0" w:space="0" w:color="auto"/>
        <w:bottom w:val="none" w:sz="0" w:space="0" w:color="auto"/>
        <w:right w:val="none" w:sz="0" w:space="0" w:color="auto"/>
      </w:divBdr>
    </w:div>
    <w:div w:id="1144273118">
      <w:bodyDiv w:val="1"/>
      <w:marLeft w:val="0"/>
      <w:marRight w:val="0"/>
      <w:marTop w:val="0"/>
      <w:marBottom w:val="0"/>
      <w:divBdr>
        <w:top w:val="none" w:sz="0" w:space="0" w:color="auto"/>
        <w:left w:val="none" w:sz="0" w:space="0" w:color="auto"/>
        <w:bottom w:val="none" w:sz="0" w:space="0" w:color="auto"/>
        <w:right w:val="none" w:sz="0" w:space="0" w:color="auto"/>
      </w:divBdr>
      <w:divsChild>
        <w:div w:id="506940997">
          <w:marLeft w:val="0"/>
          <w:marRight w:val="0"/>
          <w:marTop w:val="0"/>
          <w:marBottom w:val="0"/>
          <w:divBdr>
            <w:top w:val="none" w:sz="0" w:space="0" w:color="auto"/>
            <w:left w:val="none" w:sz="0" w:space="0" w:color="auto"/>
            <w:bottom w:val="none" w:sz="0" w:space="0" w:color="auto"/>
            <w:right w:val="none" w:sz="0" w:space="0" w:color="auto"/>
          </w:divBdr>
        </w:div>
      </w:divsChild>
    </w:div>
    <w:div w:id="1198544876">
      <w:bodyDiv w:val="1"/>
      <w:marLeft w:val="0"/>
      <w:marRight w:val="0"/>
      <w:marTop w:val="0"/>
      <w:marBottom w:val="0"/>
      <w:divBdr>
        <w:top w:val="none" w:sz="0" w:space="0" w:color="auto"/>
        <w:left w:val="none" w:sz="0" w:space="0" w:color="auto"/>
        <w:bottom w:val="none" w:sz="0" w:space="0" w:color="auto"/>
        <w:right w:val="none" w:sz="0" w:space="0" w:color="auto"/>
      </w:divBdr>
    </w:div>
    <w:div w:id="1233083145">
      <w:bodyDiv w:val="1"/>
      <w:marLeft w:val="0"/>
      <w:marRight w:val="0"/>
      <w:marTop w:val="0"/>
      <w:marBottom w:val="0"/>
      <w:divBdr>
        <w:top w:val="none" w:sz="0" w:space="0" w:color="auto"/>
        <w:left w:val="none" w:sz="0" w:space="0" w:color="auto"/>
        <w:bottom w:val="none" w:sz="0" w:space="0" w:color="auto"/>
        <w:right w:val="none" w:sz="0" w:space="0" w:color="auto"/>
      </w:divBdr>
    </w:div>
    <w:div w:id="1240557896">
      <w:bodyDiv w:val="1"/>
      <w:marLeft w:val="0"/>
      <w:marRight w:val="0"/>
      <w:marTop w:val="0"/>
      <w:marBottom w:val="0"/>
      <w:divBdr>
        <w:top w:val="none" w:sz="0" w:space="0" w:color="auto"/>
        <w:left w:val="none" w:sz="0" w:space="0" w:color="auto"/>
        <w:bottom w:val="none" w:sz="0" w:space="0" w:color="auto"/>
        <w:right w:val="none" w:sz="0" w:space="0" w:color="auto"/>
      </w:divBdr>
      <w:divsChild>
        <w:div w:id="618685015">
          <w:marLeft w:val="0"/>
          <w:marRight w:val="0"/>
          <w:marTop w:val="0"/>
          <w:marBottom w:val="0"/>
          <w:divBdr>
            <w:top w:val="none" w:sz="0" w:space="0" w:color="auto"/>
            <w:left w:val="none" w:sz="0" w:space="0" w:color="auto"/>
            <w:bottom w:val="none" w:sz="0" w:space="0" w:color="auto"/>
            <w:right w:val="none" w:sz="0" w:space="0" w:color="auto"/>
          </w:divBdr>
        </w:div>
      </w:divsChild>
    </w:div>
    <w:div w:id="1266571352">
      <w:bodyDiv w:val="1"/>
      <w:marLeft w:val="0"/>
      <w:marRight w:val="0"/>
      <w:marTop w:val="0"/>
      <w:marBottom w:val="0"/>
      <w:divBdr>
        <w:top w:val="none" w:sz="0" w:space="0" w:color="auto"/>
        <w:left w:val="none" w:sz="0" w:space="0" w:color="auto"/>
        <w:bottom w:val="none" w:sz="0" w:space="0" w:color="auto"/>
        <w:right w:val="none" w:sz="0" w:space="0" w:color="auto"/>
      </w:divBdr>
    </w:div>
    <w:div w:id="1294943237">
      <w:bodyDiv w:val="1"/>
      <w:marLeft w:val="0"/>
      <w:marRight w:val="0"/>
      <w:marTop w:val="0"/>
      <w:marBottom w:val="0"/>
      <w:divBdr>
        <w:top w:val="none" w:sz="0" w:space="0" w:color="auto"/>
        <w:left w:val="none" w:sz="0" w:space="0" w:color="auto"/>
        <w:bottom w:val="none" w:sz="0" w:space="0" w:color="auto"/>
        <w:right w:val="none" w:sz="0" w:space="0" w:color="auto"/>
      </w:divBdr>
    </w:div>
    <w:div w:id="1445004305">
      <w:bodyDiv w:val="1"/>
      <w:marLeft w:val="0"/>
      <w:marRight w:val="0"/>
      <w:marTop w:val="0"/>
      <w:marBottom w:val="0"/>
      <w:divBdr>
        <w:top w:val="none" w:sz="0" w:space="0" w:color="auto"/>
        <w:left w:val="none" w:sz="0" w:space="0" w:color="auto"/>
        <w:bottom w:val="none" w:sz="0" w:space="0" w:color="auto"/>
        <w:right w:val="none" w:sz="0" w:space="0" w:color="auto"/>
      </w:divBdr>
    </w:div>
    <w:div w:id="1535271174">
      <w:bodyDiv w:val="1"/>
      <w:marLeft w:val="0"/>
      <w:marRight w:val="0"/>
      <w:marTop w:val="0"/>
      <w:marBottom w:val="0"/>
      <w:divBdr>
        <w:top w:val="none" w:sz="0" w:space="0" w:color="auto"/>
        <w:left w:val="none" w:sz="0" w:space="0" w:color="auto"/>
        <w:bottom w:val="none" w:sz="0" w:space="0" w:color="auto"/>
        <w:right w:val="none" w:sz="0" w:space="0" w:color="auto"/>
      </w:divBdr>
    </w:div>
    <w:div w:id="1537499443">
      <w:bodyDiv w:val="1"/>
      <w:marLeft w:val="0"/>
      <w:marRight w:val="0"/>
      <w:marTop w:val="0"/>
      <w:marBottom w:val="0"/>
      <w:divBdr>
        <w:top w:val="none" w:sz="0" w:space="0" w:color="auto"/>
        <w:left w:val="none" w:sz="0" w:space="0" w:color="auto"/>
        <w:bottom w:val="none" w:sz="0" w:space="0" w:color="auto"/>
        <w:right w:val="none" w:sz="0" w:space="0" w:color="auto"/>
      </w:divBdr>
    </w:div>
    <w:div w:id="1541741408">
      <w:bodyDiv w:val="1"/>
      <w:marLeft w:val="0"/>
      <w:marRight w:val="0"/>
      <w:marTop w:val="0"/>
      <w:marBottom w:val="0"/>
      <w:divBdr>
        <w:top w:val="none" w:sz="0" w:space="0" w:color="auto"/>
        <w:left w:val="none" w:sz="0" w:space="0" w:color="auto"/>
        <w:bottom w:val="none" w:sz="0" w:space="0" w:color="auto"/>
        <w:right w:val="none" w:sz="0" w:space="0" w:color="auto"/>
      </w:divBdr>
    </w:div>
    <w:div w:id="1613243021">
      <w:bodyDiv w:val="1"/>
      <w:marLeft w:val="0"/>
      <w:marRight w:val="0"/>
      <w:marTop w:val="0"/>
      <w:marBottom w:val="0"/>
      <w:divBdr>
        <w:top w:val="none" w:sz="0" w:space="0" w:color="auto"/>
        <w:left w:val="none" w:sz="0" w:space="0" w:color="auto"/>
        <w:bottom w:val="none" w:sz="0" w:space="0" w:color="auto"/>
        <w:right w:val="none" w:sz="0" w:space="0" w:color="auto"/>
      </w:divBdr>
    </w:div>
    <w:div w:id="1674530367">
      <w:bodyDiv w:val="1"/>
      <w:marLeft w:val="0"/>
      <w:marRight w:val="0"/>
      <w:marTop w:val="0"/>
      <w:marBottom w:val="0"/>
      <w:divBdr>
        <w:top w:val="none" w:sz="0" w:space="0" w:color="auto"/>
        <w:left w:val="none" w:sz="0" w:space="0" w:color="auto"/>
        <w:bottom w:val="none" w:sz="0" w:space="0" w:color="auto"/>
        <w:right w:val="none" w:sz="0" w:space="0" w:color="auto"/>
      </w:divBdr>
    </w:div>
    <w:div w:id="1683239836">
      <w:bodyDiv w:val="1"/>
      <w:marLeft w:val="0"/>
      <w:marRight w:val="0"/>
      <w:marTop w:val="0"/>
      <w:marBottom w:val="0"/>
      <w:divBdr>
        <w:top w:val="none" w:sz="0" w:space="0" w:color="auto"/>
        <w:left w:val="none" w:sz="0" w:space="0" w:color="auto"/>
        <w:bottom w:val="none" w:sz="0" w:space="0" w:color="auto"/>
        <w:right w:val="none" w:sz="0" w:space="0" w:color="auto"/>
      </w:divBdr>
    </w:div>
    <w:div w:id="1695957308">
      <w:bodyDiv w:val="1"/>
      <w:marLeft w:val="0"/>
      <w:marRight w:val="0"/>
      <w:marTop w:val="0"/>
      <w:marBottom w:val="0"/>
      <w:divBdr>
        <w:top w:val="none" w:sz="0" w:space="0" w:color="auto"/>
        <w:left w:val="none" w:sz="0" w:space="0" w:color="auto"/>
        <w:bottom w:val="none" w:sz="0" w:space="0" w:color="auto"/>
        <w:right w:val="none" w:sz="0" w:space="0" w:color="auto"/>
      </w:divBdr>
    </w:div>
    <w:div w:id="1698234628">
      <w:bodyDiv w:val="1"/>
      <w:marLeft w:val="0"/>
      <w:marRight w:val="0"/>
      <w:marTop w:val="0"/>
      <w:marBottom w:val="0"/>
      <w:divBdr>
        <w:top w:val="none" w:sz="0" w:space="0" w:color="auto"/>
        <w:left w:val="none" w:sz="0" w:space="0" w:color="auto"/>
        <w:bottom w:val="none" w:sz="0" w:space="0" w:color="auto"/>
        <w:right w:val="none" w:sz="0" w:space="0" w:color="auto"/>
      </w:divBdr>
    </w:div>
    <w:div w:id="1707367593">
      <w:bodyDiv w:val="1"/>
      <w:marLeft w:val="0"/>
      <w:marRight w:val="0"/>
      <w:marTop w:val="0"/>
      <w:marBottom w:val="0"/>
      <w:divBdr>
        <w:top w:val="none" w:sz="0" w:space="0" w:color="auto"/>
        <w:left w:val="none" w:sz="0" w:space="0" w:color="auto"/>
        <w:bottom w:val="none" w:sz="0" w:space="0" w:color="auto"/>
        <w:right w:val="none" w:sz="0" w:space="0" w:color="auto"/>
      </w:divBdr>
    </w:div>
    <w:div w:id="1755860100">
      <w:bodyDiv w:val="1"/>
      <w:marLeft w:val="0"/>
      <w:marRight w:val="0"/>
      <w:marTop w:val="0"/>
      <w:marBottom w:val="0"/>
      <w:divBdr>
        <w:top w:val="none" w:sz="0" w:space="0" w:color="auto"/>
        <w:left w:val="none" w:sz="0" w:space="0" w:color="auto"/>
        <w:bottom w:val="none" w:sz="0" w:space="0" w:color="auto"/>
        <w:right w:val="none" w:sz="0" w:space="0" w:color="auto"/>
      </w:divBdr>
    </w:div>
    <w:div w:id="1783768235">
      <w:bodyDiv w:val="1"/>
      <w:marLeft w:val="0"/>
      <w:marRight w:val="0"/>
      <w:marTop w:val="0"/>
      <w:marBottom w:val="0"/>
      <w:divBdr>
        <w:top w:val="none" w:sz="0" w:space="0" w:color="auto"/>
        <w:left w:val="none" w:sz="0" w:space="0" w:color="auto"/>
        <w:bottom w:val="none" w:sz="0" w:space="0" w:color="auto"/>
        <w:right w:val="none" w:sz="0" w:space="0" w:color="auto"/>
      </w:divBdr>
    </w:div>
    <w:div w:id="1810049102">
      <w:bodyDiv w:val="1"/>
      <w:marLeft w:val="0"/>
      <w:marRight w:val="0"/>
      <w:marTop w:val="0"/>
      <w:marBottom w:val="0"/>
      <w:divBdr>
        <w:top w:val="none" w:sz="0" w:space="0" w:color="auto"/>
        <w:left w:val="none" w:sz="0" w:space="0" w:color="auto"/>
        <w:bottom w:val="none" w:sz="0" w:space="0" w:color="auto"/>
        <w:right w:val="none" w:sz="0" w:space="0" w:color="auto"/>
      </w:divBdr>
    </w:div>
    <w:div w:id="1811358192">
      <w:bodyDiv w:val="1"/>
      <w:marLeft w:val="0"/>
      <w:marRight w:val="0"/>
      <w:marTop w:val="0"/>
      <w:marBottom w:val="0"/>
      <w:divBdr>
        <w:top w:val="none" w:sz="0" w:space="0" w:color="auto"/>
        <w:left w:val="none" w:sz="0" w:space="0" w:color="auto"/>
        <w:bottom w:val="none" w:sz="0" w:space="0" w:color="auto"/>
        <w:right w:val="none" w:sz="0" w:space="0" w:color="auto"/>
      </w:divBdr>
    </w:div>
    <w:div w:id="1826553992">
      <w:bodyDiv w:val="1"/>
      <w:marLeft w:val="0"/>
      <w:marRight w:val="0"/>
      <w:marTop w:val="0"/>
      <w:marBottom w:val="0"/>
      <w:divBdr>
        <w:top w:val="none" w:sz="0" w:space="0" w:color="auto"/>
        <w:left w:val="none" w:sz="0" w:space="0" w:color="auto"/>
        <w:bottom w:val="none" w:sz="0" w:space="0" w:color="auto"/>
        <w:right w:val="none" w:sz="0" w:space="0" w:color="auto"/>
      </w:divBdr>
      <w:divsChild>
        <w:div w:id="175733575">
          <w:marLeft w:val="0"/>
          <w:marRight w:val="0"/>
          <w:marTop w:val="0"/>
          <w:marBottom w:val="0"/>
          <w:divBdr>
            <w:top w:val="none" w:sz="0" w:space="0" w:color="auto"/>
            <w:left w:val="none" w:sz="0" w:space="0" w:color="auto"/>
            <w:bottom w:val="none" w:sz="0" w:space="0" w:color="auto"/>
            <w:right w:val="none" w:sz="0" w:space="0" w:color="auto"/>
          </w:divBdr>
        </w:div>
      </w:divsChild>
    </w:div>
    <w:div w:id="1913929803">
      <w:bodyDiv w:val="1"/>
      <w:marLeft w:val="0"/>
      <w:marRight w:val="0"/>
      <w:marTop w:val="0"/>
      <w:marBottom w:val="0"/>
      <w:divBdr>
        <w:top w:val="none" w:sz="0" w:space="0" w:color="auto"/>
        <w:left w:val="none" w:sz="0" w:space="0" w:color="auto"/>
        <w:bottom w:val="none" w:sz="0" w:space="0" w:color="auto"/>
        <w:right w:val="none" w:sz="0" w:space="0" w:color="auto"/>
      </w:divBdr>
    </w:div>
    <w:div w:id="1957175469">
      <w:bodyDiv w:val="1"/>
      <w:marLeft w:val="0"/>
      <w:marRight w:val="0"/>
      <w:marTop w:val="0"/>
      <w:marBottom w:val="0"/>
      <w:divBdr>
        <w:top w:val="none" w:sz="0" w:space="0" w:color="auto"/>
        <w:left w:val="none" w:sz="0" w:space="0" w:color="auto"/>
        <w:bottom w:val="none" w:sz="0" w:space="0" w:color="auto"/>
        <w:right w:val="none" w:sz="0" w:space="0" w:color="auto"/>
      </w:divBdr>
      <w:divsChild>
        <w:div w:id="2078700645">
          <w:marLeft w:val="0"/>
          <w:marRight w:val="0"/>
          <w:marTop w:val="0"/>
          <w:marBottom w:val="0"/>
          <w:divBdr>
            <w:top w:val="none" w:sz="0" w:space="0" w:color="auto"/>
            <w:left w:val="none" w:sz="0" w:space="0" w:color="auto"/>
            <w:bottom w:val="none" w:sz="0" w:space="0" w:color="auto"/>
            <w:right w:val="none" w:sz="0" w:space="0" w:color="auto"/>
          </w:divBdr>
        </w:div>
      </w:divsChild>
    </w:div>
    <w:div w:id="1959874607">
      <w:bodyDiv w:val="1"/>
      <w:marLeft w:val="0"/>
      <w:marRight w:val="0"/>
      <w:marTop w:val="0"/>
      <w:marBottom w:val="0"/>
      <w:divBdr>
        <w:top w:val="none" w:sz="0" w:space="0" w:color="auto"/>
        <w:left w:val="none" w:sz="0" w:space="0" w:color="auto"/>
        <w:bottom w:val="none" w:sz="0" w:space="0" w:color="auto"/>
        <w:right w:val="none" w:sz="0" w:space="0" w:color="auto"/>
      </w:divBdr>
    </w:div>
    <w:div w:id="1967195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VI_Theme">
  <a:themeElements>
    <a:clrScheme name="VI Color Palette">
      <a:dk1>
        <a:srgbClr val="000000"/>
      </a:dk1>
      <a:lt1>
        <a:srgbClr val="FFFFFF"/>
      </a:lt1>
      <a:dk2>
        <a:srgbClr val="D3FBF7"/>
      </a:dk2>
      <a:lt2>
        <a:srgbClr val="FFFFFF"/>
      </a:lt2>
      <a:accent1>
        <a:srgbClr val="00BFB3"/>
      </a:accent1>
      <a:accent2>
        <a:srgbClr val="6730E3"/>
      </a:accent2>
      <a:accent3>
        <a:srgbClr val="FF6035"/>
      </a:accent3>
      <a:accent4>
        <a:srgbClr val="5291FF"/>
      </a:accent4>
      <a:accent5>
        <a:srgbClr val="BFBFBF"/>
      </a:accent5>
      <a:accent6>
        <a:srgbClr val="C042EA"/>
      </a:accent6>
      <a:hlink>
        <a:srgbClr val="3769FF"/>
      </a:hlink>
      <a:folHlink>
        <a:srgbClr val="21212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3769FF"/>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sz="4800" dirty="0" smtClean="0">
            <a:solidFill>
              <a:schemeClr val="accent2"/>
            </a:solidFill>
          </a:defRPr>
        </a:defPPr>
      </a:lstStyle>
    </a:txDef>
  </a:objectDefaults>
  <a:extraClrSchemeLst/>
  <a:custClrLst>
    <a:custClr name="FT SKY BLUE">
      <a:srgbClr val="3769FF"/>
    </a:custClr>
    <a:custClr name="FT SKY BLUE1">
      <a:srgbClr val="DDEAFF"/>
    </a:custClr>
    <a:custClr name="FT PURPLE">
      <a:srgbClr val="6730E3"/>
    </a:custClr>
    <a:custClr name="FT TEAL3">
      <a:srgbClr val="00A096"/>
    </a:custClr>
    <a:custClr name=" FT TEAL">
      <a:srgbClr val="00BFB3"/>
    </a:custClr>
    <a:custClr name=" FT TEAL2">
      <a:srgbClr val="72DBD5"/>
    </a:custClr>
    <a:custClr name=" FT TEAL1">
      <a:srgbClr val="D3FBF7"/>
    </a:custClr>
    <a:custClr name="Black">
      <a:srgbClr val="000000"/>
    </a:custClr>
    <a:custClr name="FT GRAY4">
      <a:srgbClr val="595959"/>
    </a:custClr>
    <a:custClr name="FT GRAY3">
      <a:srgbClr val="8C8C8C"/>
    </a:custClr>
    <a:custClr name="FT GRAY2">
      <a:srgbClr val="BFBFBF"/>
    </a:custClr>
    <a:custClr name="FT GRAY1">
      <a:srgbClr val="E6E6E6"/>
    </a:custClr>
  </a:custClrLst>
  <a:extLst>
    <a:ext uri="{05A4C25C-085E-4340-85A3-A5531E510DB2}">
      <thm15:themeFamily xmlns:thm15="http://schemas.microsoft.com/office/thememl/2012/main" name="VI_Theme" id="{6ECC15DA-0160-407B-8A33-49704D886C1B}" vid="{8B6D916F-FDD6-4CF1-B85F-BDC972FCFF0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bb75bed-4347-4769-a3f3-9acee68101c7" xsi:nil="true"/>
    <lcf76f155ced4ddcb4097134ff3c332f xmlns="13162c7b-3941-4fbf-98a3-d1d84e3bda70">
      <Terms xmlns="http://schemas.microsoft.com/office/infopath/2007/PartnerControls"/>
    </lcf76f155ced4ddcb4097134ff3c332f>
    <Fund_x002f_Entity xmlns="13162c7b-3941-4fbf-98a3-d1d84e3bda70" xsi:nil="true"/>
    <_x0033_rdparty xmlns="13162c7b-3941-4fbf-98a3-d1d84e3bda7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643ED64EF649D48B866DB1F5CC610F7" ma:contentTypeVersion="16" ma:contentTypeDescription="Create a new document." ma:contentTypeScope="" ma:versionID="43b1c16c889f8e3558f2220165d0c898">
  <xsd:schema xmlns:xsd="http://www.w3.org/2001/XMLSchema" xmlns:xs="http://www.w3.org/2001/XMLSchema" xmlns:p="http://schemas.microsoft.com/office/2006/metadata/properties" xmlns:ns2="13162c7b-3941-4fbf-98a3-d1d84e3bda70" xmlns:ns3="dbb75bed-4347-4769-a3f3-9acee68101c7" targetNamespace="http://schemas.microsoft.com/office/2006/metadata/properties" ma:root="true" ma:fieldsID="fbd5fad7f08d702774c0575891be78ca" ns2:_="" ns3:_="">
    <xsd:import namespace="13162c7b-3941-4fbf-98a3-d1d84e3bda70"/>
    <xsd:import namespace="dbb75bed-4347-4769-a3f3-9acee68101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LengthInSeconds" minOccurs="0"/>
                <xsd:element ref="ns2:MediaServiceLocation" minOccurs="0"/>
                <xsd:element ref="ns2:Fund_x002f_Entity" minOccurs="0"/>
                <xsd:element ref="ns2:_x0033_rdpar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62c7b-3941-4fbf-98a3-d1d84e3bda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a2cf999-78fc-4b4f-9c94-c21be84841be" ma:termSetId="09814cd3-568e-fe90-9814-8d621ff8fb84" ma:anchorId="fba54fb3-c3e1-fe81-a776-ca4b69148c4d" ma:open="true" ma:isKeyword="false">
      <xsd:complexType>
        <xsd:sequence>
          <xsd:element ref="pc:Terms" minOccurs="0" maxOccurs="1"/>
        </xsd:sequence>
      </xsd:complex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Fund_x002f_Entity" ma:index="20" nillable="true" ma:displayName="Fund/Entity" ma:format="Dropdown" ma:internalName="Fund_x002f_Entity">
      <xsd:simpleType>
        <xsd:restriction base="dms:Choice">
          <xsd:enumeration value="Value Add"/>
          <xsd:enumeration value="FT Real assets Carry GP Sarl"/>
          <xsd:enumeration value="Templeton Turkey II"/>
          <xsd:enumeration value="FBRED"/>
        </xsd:restriction>
      </xsd:simpleType>
    </xsd:element>
    <xsd:element name="_x0033_rdparty" ma:index="21" nillable="true" ma:displayName="3rd party" ma:format="Dropdown" ma:internalName="_x0033_rdpart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b75bed-4347-4769-a3f3-9acee68101c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3c1121-b536-4baf-9be7-aa992f405059}" ma:internalName="TaxCatchAll" ma:showField="CatchAllData" ma:web="dbb75bed-4347-4769-a3f3-9acee68101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 G E D I ! 1 6 0 1 9 5 5 4 . 2 < / d o c u m e n t i d >  
     < s e n d e r i d > I N E S B E R G U I O < / s e n d e r i d >  
     < s e n d e r e m a i l > I N E S B E R G U I O @ E L V I N G E R H O S S . L U < / s e n d e r e m a i l >  
     < l a s t m o d i f i e d > 2 0 2 4 - 0 6 - 1 7 T 1 9 : 2 9 : 0 0 . 0 0 0 0 0 0 0 + 0 2 : 0 0 < / l a s t m o d i f i e d >  
     < d a t a b a s e > G E D I < / d a t a b a s e >  
 < / p r o p e r t i e s > 
</file>

<file path=customXml/itemProps1.xml><?xml version="1.0" encoding="utf-8"?>
<ds:datastoreItem xmlns:ds="http://schemas.openxmlformats.org/officeDocument/2006/customXml" ds:itemID="{C18EE34E-227B-42CB-8C43-91AE48782E36}">
  <ds:schemaRefs>
    <ds:schemaRef ds:uri="http://schemas.microsoft.com/office/2006/metadata/properties"/>
    <ds:schemaRef ds:uri="http://schemas.microsoft.com/office/infopath/2007/PartnerControls"/>
    <ds:schemaRef ds:uri="dbb75bed-4347-4769-a3f3-9acee68101c7"/>
    <ds:schemaRef ds:uri="13162c7b-3941-4fbf-98a3-d1d84e3bda70"/>
  </ds:schemaRefs>
</ds:datastoreItem>
</file>

<file path=customXml/itemProps2.xml><?xml version="1.0" encoding="utf-8"?>
<ds:datastoreItem xmlns:ds="http://schemas.openxmlformats.org/officeDocument/2006/customXml" ds:itemID="{7E8204E1-EEA7-4D5B-81B8-818D1CA52368}">
  <ds:schemaRefs>
    <ds:schemaRef ds:uri="http://schemas.microsoft.com/sharepoint/v3/contenttype/forms"/>
  </ds:schemaRefs>
</ds:datastoreItem>
</file>

<file path=customXml/itemProps3.xml><?xml version="1.0" encoding="utf-8"?>
<ds:datastoreItem xmlns:ds="http://schemas.openxmlformats.org/officeDocument/2006/customXml" ds:itemID="{254D2FBF-9846-4236-B6D9-60C3B865E341}">
  <ds:schemaRefs>
    <ds:schemaRef ds:uri="http://schemas.openxmlformats.org/officeDocument/2006/bibliography"/>
  </ds:schemaRefs>
</ds:datastoreItem>
</file>

<file path=customXml/itemProps4.xml><?xml version="1.0" encoding="utf-8"?>
<ds:datastoreItem xmlns:ds="http://schemas.openxmlformats.org/officeDocument/2006/customXml" ds:itemID="{5480AEF5-B220-4C96-99BB-A762E4E9D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62c7b-3941-4fbf-98a3-d1d84e3bda70"/>
    <ds:schemaRef ds:uri="dbb75bed-4347-4769-a3f3-9acee68101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553438-536E-4E18-A50B-6EAEDD7565D4}">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2854</Words>
  <Characters>16103</Characters>
  <Application>Microsoft Office Word</Application>
  <DocSecurity>0</DocSecurity>
  <Lines>460</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18762</CharactersWithSpaces>
  <SharedDoc>false</SharedDoc>
  <HLinks>
    <vt:vector size="12" baseType="variant">
      <vt:variant>
        <vt:i4>4456460</vt:i4>
      </vt:variant>
      <vt:variant>
        <vt:i4>-1</vt:i4>
      </vt:variant>
      <vt:variant>
        <vt:i4>3085</vt:i4>
      </vt:variant>
      <vt:variant>
        <vt:i4>1</vt:i4>
      </vt:variant>
      <vt:variant>
        <vt:lpwstr>FTI_pos</vt:lpwstr>
      </vt:variant>
      <vt:variant>
        <vt:lpwstr/>
      </vt:variant>
      <vt:variant>
        <vt:i4>458802</vt:i4>
      </vt:variant>
      <vt:variant>
        <vt:i4>-1</vt:i4>
      </vt:variant>
      <vt:variant>
        <vt:i4>3089</vt:i4>
      </vt:variant>
      <vt:variant>
        <vt:i4>1</vt:i4>
      </vt:variant>
      <vt:variant>
        <vt:lpwstr>FTI_Logotype1_pos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Garelgalais, Marie</dc:creator>
  <cp:lastModifiedBy>Garelgalais, Marie</cp:lastModifiedBy>
  <cp:revision>8</cp:revision>
  <cp:lastPrinted>2026-02-17T08:44:00Z</cp:lastPrinted>
  <dcterms:created xsi:type="dcterms:W3CDTF">2026-07-23T09:08:00Z</dcterms:created>
  <dcterms:modified xsi:type="dcterms:W3CDTF">2026-07-23T09:26:00Z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0x010100D643ED64EF649D48B866DB1F5CC610F7</vt:lpwstr>
  </property>
  <property fmtid="{D5CDD505-2E9C-101B-9397-08002B2CF9AE}" pid="3" name="MediaServiceImageTags">
    <vt:lpwstr/>
  </property>
  <property fmtid="{D5CDD505-2E9C-101B-9397-08002B2CF9AE}" pid="4" name="docLang">
    <vt:lpwstr>en</vt:lpwstr>
  </property>
</Properties>
</file>